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i w:val="0"/>
          <w:color w:val="8B1A1A"/>
          <w:sz w:val="18"/>
        </w:rPr>
        <w:t>PRIVILEGED AND CONFIDENTIAL — ATTORNEY WORK PRODUCT — PREPARED IN ANTICIPATION OF LITIGATION</w:t>
      </w:r>
    </w:p>
    <w:p>
      <w:pPr>
        <w:spacing w:before="40" w:after="80"/>
        <w:jc w:val="center"/>
      </w:pPr>
      <w:r>
        <w:rPr>
          <w:rFonts w:ascii="Calibri" w:hAnsi="Calibri"/>
          <w:b/>
          <w:i w:val="0"/>
          <w:color w:val="142A4C"/>
          <w:sz w:val="32"/>
        </w:rPr>
        <w:t>WITNESS-INTERVIEW OUTLINE AND PREPARATION MEMORANDUM</w:t>
      </w:r>
    </w:p>
    <w:p>
      <w:pPr>
        <w:spacing w:after="40"/>
        <w:jc w:val="center"/>
      </w:pPr>
      <w:r>
        <w:rPr>
          <w:rFonts w:ascii="Calibri" w:hAnsi="Calibri"/>
          <w:b w:val="0"/>
          <w:i/>
          <w:sz w:val="21"/>
        </w:rPr>
        <w:t>SkyVault Technologies LLC v. Meridian Dynamics, Inc., Case No. 2:24-cv-00817-JRG (E.D. Tex.)</w:t>
      </w:r>
    </w:p>
    <w:p>
      <w:pPr>
        <w:spacing w:after="240"/>
        <w:jc w:val="center"/>
      </w:pPr>
      <w:r>
        <w:rPr>
          <w:rFonts w:ascii="Calibri" w:hAnsi="Calibri"/>
          <w:b w:val="0"/>
          <w:i/>
          <w:sz w:val="19"/>
        </w:rPr>
        <w:t>Internal Fact Investigation Conducted Under Privilege at the Direction of Counsel for Meridian Dynamics, Inc.</w:t>
      </w:r>
    </w:p>
    <w:p>
      <w:pPr>
        <w:spacing w:after="20"/>
        <w:ind w:left="144"/>
      </w:pPr>
      <w:r>
        <w:rPr>
          <w:rFonts w:ascii="Calibri" w:hAnsi="Calibri"/>
          <w:b w:val="0"/>
          <w:i w:val="0"/>
          <w:sz w:val="19"/>
        </w:rPr>
        <w:t>TO:      File / Engagement Team (Meridian Dynamics, Inc.)</w:t>
      </w:r>
    </w:p>
    <w:p>
      <w:pPr>
        <w:spacing w:after="20"/>
        <w:ind w:left="144"/>
      </w:pPr>
      <w:r>
        <w:rPr>
          <w:rFonts w:ascii="Calibri" w:hAnsi="Calibri"/>
          <w:b w:val="0"/>
          <w:i w:val="0"/>
          <w:sz w:val="19"/>
        </w:rPr>
        <w:t>FROM:    Counsel for Defendant Meridian Dynamics, Inc.</w:t>
      </w:r>
    </w:p>
    <w:p>
      <w:pPr>
        <w:spacing w:after="20"/>
        <w:ind w:left="144"/>
      </w:pPr>
      <w:r>
        <w:rPr>
          <w:rFonts w:ascii="Calibri" w:hAnsi="Calibri"/>
          <w:b w:val="0"/>
          <w:i w:val="0"/>
          <w:sz w:val="19"/>
        </w:rPr>
        <w:t>DATE:    September 2026</w:t>
      </w:r>
    </w:p>
    <w:p>
      <w:pPr>
        <w:spacing w:after="20"/>
        <w:ind w:left="144"/>
      </w:pPr>
      <w:r>
        <w:rPr>
          <w:rFonts w:ascii="Calibri" w:hAnsi="Calibri"/>
          <w:b w:val="0"/>
          <w:i w:val="0"/>
          <w:sz w:val="19"/>
        </w:rPr>
        <w:t>RE:      Interview design — Dr. Marcus Holt; Meridian technical team; Meridian legal lead</w:t>
      </w:r>
    </w:p>
    <w:p>
      <w:pPr>
        <w:spacing w:after="20"/>
        <w:ind w:left="144"/>
      </w:pPr>
      <w:r>
        <w:rPr>
          <w:rFonts w:ascii="Calibri" w:hAnsi="Calibri"/>
          <w:b w:val="0"/>
          <w:i w:val="0"/>
          <w:sz w:val="19"/>
        </w:rPr>
        <w:t>STATUS:  Privileged draft. Not for production or distribution outside the defense team.</w:t>
      </w:r>
    </w:p>
    <w:p>
      <w:pPr>
        <w:keepNext/>
        <w:spacing w:before="280" w:after="100"/>
      </w:pPr>
      <w:r>
        <w:rPr>
          <w:rFonts w:ascii="Calibri" w:hAnsi="Calibri"/>
          <w:b/>
          <w:color w:val="142A4C"/>
          <w:sz w:val="25"/>
        </w:rPr>
        <w:t>I. PURPOSE AND SCOPE OF THIS MEMORANDUM</w:t>
      </w:r>
    </w:p>
    <w:p>
      <w:pPr>
        <w:spacing w:after="120"/>
        <w:jc w:val="both"/>
      </w:pPr>
      <w:r>
        <w:rPr>
          <w:rFonts w:ascii="Calibri" w:hAnsi="Calibri"/>
          <w:b w:val="0"/>
          <w:i w:val="0"/>
          <w:sz w:val="20"/>
        </w:rPr>
        <w:t>This memorandum is an interview-design document. It states, for each of three witness categories, the function that category serves in the current round of privileged fact interviews and lists the questions that counsel can actually ask out loud. It is a planning instrument only: it is not testimony, not a declaration, not a pleading, not a claim chart, not an invalidity or non-infringement analysis, not a settlement communication, and not a merits opinion on any claim or defense. Nothing in it should be quoted, filed, or produced.</w:t>
      </w:r>
    </w:p>
    <w:p>
      <w:pPr>
        <w:spacing w:after="120"/>
        <w:jc w:val="both"/>
      </w:pPr>
      <w:r>
        <w:rPr>
          <w:rFonts w:ascii="Calibri" w:hAnsi="Calibri"/>
          <w:b w:val="0"/>
          <w:i w:val="0"/>
          <w:sz w:val="20"/>
        </w:rPr>
        <w:t>This round of interviews is being conducted before any deposition, before any written discovery responses have been served, and before any deposition-preparation session. The objective is triage: to determine, witness by witness, what Meridian personnel actually did, what they actually knew and when, what documentary records exist and where they reside, and which of the Plaintiff's allegations are factually testable rather than merely pleaded. The interviews are also designed to surface the facts that will frame the privilege boundary — which communications are discoverable business facts and which are protected attorney-client communications or attorney work product — before that boundary is tested by an adversary.</w:t>
      </w:r>
    </w:p>
    <w:p>
      <w:pPr>
        <w:spacing w:after="120"/>
        <w:jc w:val="both"/>
      </w:pPr>
      <w:r>
        <w:rPr>
          <w:rFonts w:ascii="Calibri" w:hAnsi="Calibri"/>
          <w:b w:val="0"/>
          <w:i w:val="0"/>
          <w:sz w:val="20"/>
        </w:rPr>
        <w:t>Factual statements in this memorandum are drawn exclusively from the five materials furnished for this exercise, identified below. Where a proposition rests on a party's assertion rather than on verified fact, it is labeled as such. Where a material would ordinarily exist but was not furnished, the gap is treated in the outline as an interview-confirmation or document-collection task, not as an established fact.</w:t>
      </w:r>
    </w:p>
    <w:p>
      <w:pPr>
        <w:keepNext/>
        <w:spacing w:before="280" w:after="100"/>
      </w:pPr>
      <w:r>
        <w:rPr>
          <w:rFonts w:ascii="Calibri" w:hAnsi="Calibri"/>
          <w:b/>
          <w:color w:val="142A4C"/>
          <w:sz w:val="25"/>
        </w:rPr>
        <w:t>II. THE FIVE SOURCE MATERIALS AND WHAT EACH ACTUALLY PROVES</w:t>
      </w:r>
    </w:p>
    <w:p>
      <w:pPr>
        <w:spacing w:after="120"/>
        <w:jc w:val="both"/>
      </w:pPr>
      <w:r>
        <w:rPr>
          <w:rFonts w:ascii="Calibri" w:hAnsi="Calibri"/>
          <w:b w:val="0"/>
          <w:i w:val="0"/>
          <w:sz w:val="20"/>
        </w:rPr>
        <w:t>The interview outline that follows cites only the five materials listed below. Each is identified with a short form used throughout the outline.</w:t>
      </w:r>
    </w:p>
    <w:p>
      <w:pPr>
        <w:spacing w:after="120"/>
        <w:jc w:val="both"/>
      </w:pPr>
      <w:r>
        <w:rPr>
          <w:rFonts w:ascii="Calibri" w:hAnsi="Calibri"/>
          <w:b w:val="0"/>
          <w:i w:val="0"/>
          <w:sz w:val="20"/>
        </w:rPr>
        <w:t>1.  skyvault-complaint.docx — Plaintiff's Original Complaint ("the Complaint"). Filed October 2, 2024 in the Eastern District of Texas; Civil Action No. 2:24-cv-00817-JRG; jury demand; signed by Theresa N. Voss of Callister, Voss &amp; Greenbaum LLP. Asserted Counts I-IX: infringement of U.S. Patent Nos. 10,234,561 (the '561 Patent), 10,891,227 (the '227 Patent) and 11,402,889 (the '889 Patent); DTSA and TUTSA trade secret misappropriation; copyright infringement of the AeroCore Firmware Suite; breach of the ECIAA; unjust enrichment; and Texas common-law unfair competition. Probative scope: this document proves what SkyVault has alleged and the relief it demands. It does not prove that any allegation is true, that any Meridian product infringes, that any trade secret was misappropriated, that any code was copied, or that any Meridian technology was derived from SkyVault. Its internal qualifiers ("On information and belief" at paras. 2, 10, 12, 49, 54, 55, 59, 60, 69, 77, 78, 86, 94, 95, 119, 120, 130 and 146) and its reservations of rights ("SkyVault reserves the right to assert additional claims ... as discovery proceeds," paras. 68, 77, 84) should be captured verbatim in the interview file, because they are useful admissions that the Plaintiff's technical case was pleaded without inspection of Meridian's code.</w:t>
      </w:r>
    </w:p>
    <w:p>
      <w:pPr>
        <w:spacing w:after="120"/>
        <w:jc w:val="both"/>
      </w:pPr>
      <w:r>
        <w:rPr>
          <w:rFonts w:ascii="Calibri" w:hAnsi="Calibri"/>
          <w:b w:val="0"/>
          <w:i w:val="0"/>
          <w:sz w:val="20"/>
        </w:rPr>
        <w:t>2.  exhibit-f-forensic-log.xlsx — Exhibit F, "SkyVault Technologies LLC — Confluence Workspace IT Forensic Log Extract," prepared by Hargrove Forensics Group, report dated March 5, 2018 ("Exhibit F"). Probative scope: Exhibit F is a SkyVault-side extract of selected events for the single user account 'mholt' for the review period January 1, 2018 through February 28, 2018. The "Report Metadata" sheet states that the full audit log contains 12,847 events for that period and that 50 events were selected as relevant to the engagement scope, so Exhibit F is a curated subset, not a complete record. It is a record of events attributable to a SkyVault system account, not a finding of wrongdoing, not a finding that any particular file was SkyVault property rather than a third-party or personal document, and not evidence of what happened after February 16, 2018. It also does not establish that the 4,700 files identified in Row #34 were ever opened, read, copied into any Meridian system, or used.</w:t>
      </w:r>
    </w:p>
    <w:p>
      <w:pPr>
        <w:spacing w:after="120"/>
        <w:jc w:val="both"/>
      </w:pPr>
      <w:r>
        <w:rPr>
          <w:rFonts w:ascii="Calibri" w:hAnsi="Calibri"/>
          <w:b w:val="0"/>
          <w:i w:val="0"/>
          <w:sz w:val="20"/>
        </w:rPr>
        <w:t>3.  holt-eciaa-agreement.docx — Employee Confidentiality and Invention Assignment Agreement between SkyVault Technologies LLC and Dr. Marcus Holt, effective June 13, 2016 ("the ECIAA"). Probative scope: the ECIAA is a contract. It establishes the parties' agreed obligations (Section 3 confidentiality and non-use; Section 4 systems and removable-media controls; Section 5 invention disclosure and assignment; Section 7 non-solicitation; Sections 8-9 remedies, governing law and survival) and, importantly for the defense, the contract's own exclusions and carve-outs: Section 2.1(i)-(iv) exclusions from Confidential Information (publicly available material; information known to Holt before disclosure as documented by written records; independently developed information as documented by written records; third-party disclosures); Section 3.4 preservation of general skills, knowledge and expertise and the right to use publicly available information and general industry knowledge; Section 5.3 exclusion of inventions developed entirely on the employee's own time without Company resources and the Exhibit A Prior Inventions disclosure. The ECIAA does not establish that any obligation was breached, that any particular file was confidential, or that anything Holt later built derived from SkyVault. The ECIAA contains no non-competition covenant — a point to verify against the original, since the Complaint does not plead one and a non-compete would materially change the defense posture.</w:t>
      </w:r>
    </w:p>
    <w:p>
      <w:pPr>
        <w:spacing w:after="120"/>
        <w:jc w:val="both"/>
      </w:pPr>
      <w:r>
        <w:rPr>
          <w:rFonts w:ascii="Calibri" w:hAnsi="Calibri"/>
          <w:b w:val="0"/>
          <w:i w:val="0"/>
          <w:sz w:val="20"/>
        </w:rPr>
        <w:t>4.  pathforge-whitepaper-excerpt.docx — "PathForge: Next-Generation Autonomous Navigation," dated July 2022, attributed on its cover to "Dr. Marcus Holt, CTO and Co-Founder" and the "PathForge Engineering Team," marked "Document Classification: Public Release / Marketing Technical Paper," and expressly an excerpt of a 42-page paper (Sections 1-5 and 7; Section 6 hardware specifications and the appendices omitted). Probative scope: the white paper is a July 2022 public technical and marketing statement. It is a statement of claimed capability and design intent as of publication. It is not a development record, not a source-code repository, not a test report, not an admission, and not evidence that any capability described was implemented in the manner or on the schedule described. Its provenance and timing assertions — "developed from the ground up beginning in 2018" (Section 1); the phased timeline in Section 7.2; "All PathForge technology was developed independently by the Meridian engineering team" (Section 7.2) — are the Defendant's own public position and must be corroborated by Meridian's internal records before they are relied on.</w:t>
      </w:r>
    </w:p>
    <w:p>
      <w:pPr>
        <w:spacing w:after="120"/>
        <w:jc w:val="both"/>
      </w:pPr>
      <w:r>
        <w:rPr>
          <w:rFonts w:ascii="Calibri" w:hAnsi="Calibri"/>
          <w:b w:val="0"/>
          <w:i w:val="0"/>
          <w:sz w:val="20"/>
        </w:rPr>
        <w:t>5.  meridian-cd-response.docx — Letter dated April 5, 2024 from Laura Brackwell of Brackwell &amp; Haines LLP to Theresa N. Voss, responding to SkyVault's March 12, 2024 cease-and-desist letter ("the April 5 Response"). Probative scope: the April 5 Response is party advocacy. It proves that Meridian received notice of the three asserted patents and of the trade secret and copyright allegations; that Meridian denies infringement, misappropriation and copying; that Meridian asserts independent development; that Meridian declined all three demands (cessation, the $15 million licensing fee, and a source-code forensic audit); and that Meridian reserved non-infringement, invalidity, unenforceability and independent-development defenses. Its statements that Meridian "independently developed its PathForge platform" and "maintains robust internal compliance processes" are unsworn litigation positions, not verified facts. The letter also reflects that Meridian's outside counsel directed that future communications be routed to Brackwell &amp; Haines and requested that SkyVault refrain from contacting Meridian officers and employees directly.</w:t>
      </w:r>
    </w:p>
    <w:p>
      <w:pPr>
        <w:spacing w:after="120"/>
        <w:jc w:val="both"/>
      </w:pPr>
      <w:r>
        <w:rPr>
          <w:rFonts w:ascii="Calibri" w:hAnsi="Calibri"/>
          <w:b w:val="0"/>
          <w:i w:val="0"/>
          <w:sz w:val="20"/>
        </w:rPr>
        <w:t>Not furnished with this exercise, and therefore treated as open: the March 12, 2024 cease-and-desist letter itself; Exhibits A-E and G to the Complaint (the three patents, the copyright registration certificate, the ECIAA as filed, and the full white paper); Holt's SkyVault personnel file, onboarding and access records, and exit-interview record; SkyVault's or Meridian's source code repositories; Meridian development records (commit history, design documents, requirements, test and release records); Meridian's preservation and litigation-hold records; internal Meridian communications; Meridian compliance and onboarding materials; complete forensic images and full audit logs; and any technical comparison of the AeroCore firmware to the PathForge firmware. The Complaint's paragraph 61 is the only source in the furnished set for the contents of the March 12, 2024 letter. This memorandum does not attribute to that letter anything beyond what paragraph 61 of the Complaint and the April 5 Response record.</w:t>
      </w:r>
    </w:p>
    <w:p>
      <w:pPr>
        <w:keepNext/>
        <w:spacing w:before="280" w:after="100"/>
      </w:pPr>
      <w:r>
        <w:rPr>
          <w:rFonts w:ascii="Calibri" w:hAnsi="Calibri"/>
          <w:b/>
          <w:color w:val="142A4C"/>
          <w:sz w:val="25"/>
        </w:rPr>
        <w:t>III. THREE WITNESS CATEGORIES: FUNCTION IN THIS ROUND</w:t>
      </w:r>
    </w:p>
    <w:p>
      <w:pPr>
        <w:spacing w:after="120"/>
        <w:jc w:val="both"/>
      </w:pPr>
      <w:r>
        <w:rPr>
          <w:rFonts w:ascii="Calibri" w:hAnsi="Calibri"/>
          <w:b w:val="0"/>
          <w:i w:val="0"/>
          <w:sz w:val="20"/>
        </w:rPr>
        <w:t>Category A — Dr. Marcus Holt, Meridian co-founder and Chief Technology Officer, is the only witness whose knowledge spans all six of the lead families below. He is simultaneously the former SkyVault Senior Systems Engineer named in the Complaint, the account holder identified in Exhibit F, the ECIAA signatory, the author of the Exhibit A Prior Inventions disclosure, and the named cover author of the July 2022 white paper. Section IV of this memorandum states his function in this round and sets out thirty-two questions covering his employment and access history, his disclosed prior work, the PathForge development starting point, the white paper, DroneNav and other public sources, and the pre-suit correspondence chain.</w:t>
      </w:r>
    </w:p>
    <w:p>
      <w:pPr>
        <w:spacing w:after="120"/>
        <w:jc w:val="both"/>
      </w:pPr>
      <w:r>
        <w:rPr>
          <w:rFonts w:ascii="Calibri" w:hAnsi="Calibri"/>
          <w:b w:val="0"/>
          <w:i w:val="0"/>
          <w:sz w:val="20"/>
        </w:rPr>
        <w:t>Category B — the Meridian technical team, meaning the engineering personnel who built the PathForge Navigation Module, the Swarm Coordination Module, the hardware integration layer and the analytics dashboard, plus those who can speak to repository, release and test practice, supplies what Holt cannot supply alone: a module-by-module, author-level account of how PathForge was actually built. These witnesses are the only route to the repository, dependency, test and release records that will corroborate or contradict the independent-development position asserted in the white paper and the April 5, 2024 response. Section V states their function in this round and sets out fifteen questions, including the file-level inventory needed to identify the PathForge counterparts to the three AeroCore files named in the Complaint.</w:t>
      </w:r>
    </w:p>
    <w:p>
      <w:pPr>
        <w:spacing w:after="120"/>
        <w:jc w:val="both"/>
      </w:pPr>
      <w:r>
        <w:rPr>
          <w:rFonts w:ascii="Calibri" w:hAnsi="Calibri"/>
          <w:b w:val="0"/>
          <w:i w:val="0"/>
          <w:sz w:val="20"/>
        </w:rPr>
        <w:t>Category C — Meridian's legal lead, identified in the furnished materials as Jordan Kessler, VP of Legal, who is copied on the April 5, 2024 response, is not a source of engineering fact. This witness's function is to establish the discoverable chronology of Meridian's response to the March 2024 allegations, to test the factual predicate for the representations made in that response, and to define the privilege boundary for every other interview in this round. Section VI states that function and sets out eighteen questions in two ordered tracks: a factual track on discoverable events, and a privilege-design track that is conducted only afterward.</w:t>
      </w:r>
    </w:p>
    <w:p>
      <w:pPr>
        <w:keepNext/>
        <w:spacing w:before="280" w:after="100"/>
      </w:pPr>
      <w:r>
        <w:rPr>
          <w:rFonts w:ascii="Calibri" w:hAnsi="Calibri"/>
          <w:b/>
          <w:color w:val="142A4C"/>
          <w:sz w:val="25"/>
        </w:rPr>
        <w:t>IV. CATEGORY A — DR. MARCUS HOLT (CO-FOUNDER AND CHIEF TECHNOLOGY OFFICER)</w:t>
      </w:r>
    </w:p>
    <w:p>
      <w:pPr>
        <w:spacing w:after="120"/>
        <w:jc w:val="both"/>
      </w:pPr>
      <w:r>
        <w:rPr>
          <w:rFonts w:ascii="Calibri" w:hAnsi="Calibri"/>
          <w:b w:val="0"/>
          <w:i w:val="0"/>
          <w:sz w:val="20"/>
        </w:rPr>
        <w:t>Function in this round. Holt is the single witness whose knowledge spans every lead family in this investigation: his SkyVault employment and access history, the prior work he disclosed to SkyVault in 2016, the true starting point of each PathForge module, the authorship and provenance of the July 2022 white paper, his familiarity with DroneNav and other public sources, and the pre-suit correspondence chain. His interview therefore does double duty: it must fix the factual spine — dates, credentials, system access, what he did and did not take, keep or reuse, and when each module actually began — and it must produce the list of documents that will corroborate or contradict each answer, because his account will not be accepted at face value by the Plaintiff and should not be relied on internally without records. He is also the only witness who can connect the 2018 events recorded in Exhibit F to the 2018-2021 development work described in the July 2022 white paper, which makes his account the reference point against which every later interview in this round is measured.</w:t>
      </w:r>
    </w:p>
    <w:p>
      <w:pPr>
        <w:spacing w:after="120"/>
        <w:ind w:left="259"/>
        <w:jc w:val="both"/>
      </w:pPr>
      <w:r>
        <w:rPr>
          <w:rFonts w:ascii="Calibri" w:hAnsi="Calibri"/>
          <w:b/>
          <w:sz w:val="19"/>
        </w:rPr>
        <w:t xml:space="preserve">Conduct note. </w:t>
      </w:r>
      <w:r>
        <w:rPr>
          <w:rFonts w:ascii="Calibri" w:hAnsi="Calibri"/>
          <w:sz w:val="19"/>
        </w:rPr>
        <w:t>Because Holt is simultaneously a fact witness for Meridian and a party to the ECIAA, counsel should treat this as a scoping interview: open-ended questions first, documents identified by name and location second, and no characterization of contested legal conclusions. Questions about Holt's own legal exposure, if any, should be reserved for a separate session after conflicts assessment is completed.</w:t>
      </w:r>
    </w:p>
    <w:p>
      <w:pPr>
        <w:keepNext/>
        <w:spacing w:before="220" w:after="80"/>
      </w:pPr>
      <w:r>
        <w:rPr>
          <w:rFonts w:ascii="Calibri" w:hAnsi="Calibri"/>
          <w:b/>
          <w:color w:val="1F3E6B"/>
          <w:sz w:val="21"/>
        </w:rPr>
        <w:t>A.1 — LEAD FAMILY 1: EMPLOYMENT, ROLE, CREDENTIALS AND SYSTEM ACCESS HISTORY</w:t>
      </w:r>
    </w:p>
    <w:p>
      <w:pPr>
        <w:spacing w:before="120" w:after="40"/>
        <w:ind w:left="259"/>
      </w:pPr>
      <w:r>
        <w:rPr>
          <w:rFonts w:ascii="Calibri" w:hAnsi="Calibri"/>
          <w:b/>
          <w:i w:val="0"/>
          <w:sz w:val="20"/>
        </w:rPr>
        <w:t>Q-A1.  Starting with your arrival at SkyVault, please describe in your own words how you came to be hired there, what position you were offered, what your start date was, and what you understood your job duties to be on day one.</w:t>
      </w:r>
    </w:p>
    <w:p>
      <w:pPr>
        <w:spacing w:after="40"/>
        <w:ind w:left="518"/>
        <w:jc w:val="both"/>
      </w:pPr>
      <w:r>
        <w:rPr>
          <w:rFonts w:ascii="Calibri" w:hAnsi="Calibri"/>
          <w:b/>
          <w:i/>
          <w:sz w:val="18"/>
        </w:rPr>
        <w:t xml:space="preserve">Source: </w:t>
      </w:r>
      <w:r>
        <w:rPr>
          <w:rFonts w:ascii="Calibri" w:hAnsi="Calibri"/>
          <w:i/>
          <w:sz w:val="18"/>
        </w:rPr>
        <w:t>holt-eciaa-agreement.docx, Section 1.1 (position of Senior Systems Engineer, reporting to the Chief Executive Officer, Dr. Rajan Mehta; duties including research, development and engineering of UAV flight control systems, sensor fusion algorithms and flight path optimization), Section 1.3 (start date June 13, 2016), and the signature block dated June 13, 2016; skyvault-complaint.docx para. 43 (alleging hire as Senior Systems Engineer on June 13, 2016).</w:t>
      </w:r>
    </w:p>
    <w:p>
      <w:pPr>
        <w:spacing w:after="100"/>
        <w:ind w:left="518"/>
        <w:jc w:val="both"/>
      </w:pPr>
      <w:r>
        <w:rPr>
          <w:rFonts w:ascii="Calibri" w:hAnsi="Calibri"/>
          <w:b/>
          <w:i/>
          <w:sz w:val="18"/>
        </w:rPr>
        <w:t xml:space="preserve">Evidentiary purpose: </w:t>
      </w:r>
      <w:r>
        <w:rPr>
          <w:rFonts w:ascii="Calibri" w:hAnsi="Calibri"/>
          <w:i/>
          <w:sz w:val="18"/>
        </w:rPr>
        <w:t>Establishes the baseline employment relationship from the witness rather than from the Complaint, and tests whether Holt's actual duties were as narrow or as broad as the ECIAA and the Complaint describe. This matters because the scope of his duties frames the reach of ECIAA Section 5.2 (assignment of inventions related to the Company's current or reasonably anticipated business) and the credibility of the Complaint's sweeping claim at para. 44 that he had access to all five trade secret categories.</w:t>
      </w:r>
    </w:p>
    <w:p>
      <w:pPr>
        <w:spacing w:before="120" w:after="40"/>
        <w:ind w:left="259"/>
      </w:pPr>
      <w:r>
        <w:rPr>
          <w:rFonts w:ascii="Calibri" w:hAnsi="Calibri"/>
          <w:b/>
          <w:i w:val="0"/>
          <w:sz w:val="20"/>
        </w:rPr>
        <w:t>Q-A2.  Describe the technical work you personally performed at SkyVault, including the specific subsystems, algorithms or code you contributed to, and tell me which of that work you would describe as your own independent contribution versus work that was team-developed.</w:t>
      </w:r>
    </w:p>
    <w:p>
      <w:pPr>
        <w:spacing w:after="40"/>
        <w:ind w:left="518"/>
        <w:jc w:val="both"/>
      </w:pPr>
      <w:r>
        <w:rPr>
          <w:rFonts w:ascii="Calibri" w:hAnsi="Calibri"/>
          <w:b/>
          <w:i/>
          <w:sz w:val="18"/>
        </w:rPr>
        <w:t xml:space="preserve">Source: </w:t>
      </w:r>
      <w:r>
        <w:rPr>
          <w:rFonts w:ascii="Calibri" w:hAnsi="Calibri"/>
          <w:i/>
          <w:sz w:val="18"/>
        </w:rPr>
        <w:t>holt-eciaa-agreement.docx, Sections 2.3 (definition of "Inventions"), 5.1 (disclosure obligation for inventions conceived, created, developed or reduced to practice during employment) and 5.2 (assignment of Company Inventions); skyvault-complaint.docx paras. 22-23 (describing the AeroCore firmware suite and its subsystems) and para. 34 (alleging AeroCore was developed by SkyVault's engineering team including during Holt's employment).</w:t>
      </w:r>
    </w:p>
    <w:p>
      <w:pPr>
        <w:spacing w:after="100"/>
        <w:ind w:left="518"/>
        <w:jc w:val="both"/>
      </w:pPr>
      <w:r>
        <w:rPr>
          <w:rFonts w:ascii="Calibri" w:hAnsi="Calibri"/>
          <w:b/>
          <w:i/>
          <w:sz w:val="18"/>
        </w:rPr>
        <w:t xml:space="preserve">Evidentiary purpose: </w:t>
      </w:r>
      <w:r>
        <w:rPr>
          <w:rFonts w:ascii="Calibri" w:hAnsi="Calibri"/>
          <w:i/>
          <w:sz w:val="18"/>
        </w:rPr>
        <w:t>Identifies the specific SkyVault work to which Holt can speak from personal knowledge, and separates that from team work he can only describe secondhand. This determines the limits of his admissible testimony and helps counsel decide which Meridian technical witnesses or former SkyVault engineers are needed to cover the rest. It also begins the record on what Holt personally created, which is the first step in testing any later assertion that PathForge code derives from his SkyVault work.</w:t>
      </w:r>
    </w:p>
    <w:p>
      <w:pPr>
        <w:spacing w:before="120" w:after="40"/>
        <w:ind w:left="259"/>
      </w:pPr>
      <w:r>
        <w:rPr>
          <w:rFonts w:ascii="Calibri" w:hAnsi="Calibri"/>
          <w:b/>
          <w:i w:val="0"/>
          <w:sz w:val="20"/>
        </w:rPr>
        <w:t>Q-A3.  Describe your educational background and any prior employment or research positions you held before joining SkyVault, and identify the specific subject matter of your doctoral research.</w:t>
      </w:r>
    </w:p>
    <w:p>
      <w:pPr>
        <w:spacing w:after="40"/>
        <w:ind w:left="518"/>
        <w:jc w:val="both"/>
      </w:pPr>
      <w:r>
        <w:rPr>
          <w:rFonts w:ascii="Calibri" w:hAnsi="Calibri"/>
          <w:b/>
          <w:i/>
          <w:sz w:val="18"/>
        </w:rPr>
        <w:t xml:space="preserve">Source: </w:t>
      </w:r>
      <w:r>
        <w:rPr>
          <w:rFonts w:ascii="Calibri" w:hAnsi="Calibri"/>
          <w:i/>
          <w:sz w:val="18"/>
        </w:rPr>
        <w:t>holt-eciaa-agreement.docx, recital ("Employee holds a PhD in Robotics from the Georgia Institute of Technology (2015) and possesses specialized skills in robotics, autonomous systems, and related engineering disciplines"); holt-eciaa-agreement.docx, Exhibit A Prior Inventions table (row 1: "Autonomous Ground Vehicle Path Planning Algorithm," 2014-2015, developed as part of PhD dissertation research at Georgia Institute of Technology, no patent filed); skyvault-complaint.docx para. 42 (alleging a 2015 Georgia Tech PhD in Robotics with doctoral research on autonomous navigation and multi-sensor data integration).</w:t>
      </w:r>
    </w:p>
    <w:p>
      <w:pPr>
        <w:spacing w:after="100"/>
        <w:ind w:left="518"/>
        <w:jc w:val="both"/>
      </w:pPr>
      <w:r>
        <w:rPr>
          <w:rFonts w:ascii="Calibri" w:hAnsi="Calibri"/>
          <w:b/>
          <w:i/>
          <w:sz w:val="18"/>
        </w:rPr>
        <w:t xml:space="preserve">Evidentiary purpose: </w:t>
      </w:r>
      <w:r>
        <w:rPr>
          <w:rFonts w:ascii="Calibri" w:hAnsi="Calibri"/>
          <w:i/>
          <w:sz w:val="18"/>
        </w:rPr>
        <w:t>Establishes the pre-existing knowledge base that predates SkyVault and is therefore outside the ECIAA's reach under Section 3.4 (general skills and knowledge) and Section 2.1(ii) (information known to Employee prior to disclosure, as documented by written records). The overlap between the doctoral subject matter and the accused PathForge functionality is the core of the independent-development defense, so it must be documented from the witness and then corroborated with the dissertation and any associated records.</w:t>
      </w:r>
    </w:p>
    <w:p>
      <w:pPr>
        <w:spacing w:before="120" w:after="40"/>
        <w:ind w:left="259"/>
      </w:pPr>
      <w:r>
        <w:rPr>
          <w:rFonts w:ascii="Calibri" w:hAnsi="Calibri"/>
          <w:b/>
          <w:i w:val="0"/>
          <w:sz w:val="20"/>
        </w:rPr>
        <w:t>Q-A4.  Walk me through the SkyVault systems, repositories and workspaces you could reach with your credentials, how your access was granted, and whether anyone ever restricted or narrowed that access during your employment.</w:t>
      </w:r>
    </w:p>
    <w:p>
      <w:pPr>
        <w:spacing w:after="40"/>
        <w:ind w:left="518"/>
        <w:jc w:val="both"/>
      </w:pPr>
      <w:r>
        <w:rPr>
          <w:rFonts w:ascii="Calibri" w:hAnsi="Calibri"/>
          <w:b/>
          <w:i/>
          <w:sz w:val="18"/>
        </w:rPr>
        <w:t xml:space="preserve">Source: </w:t>
      </w:r>
      <w:r>
        <w:rPr>
          <w:rFonts w:ascii="Calibri" w:hAnsi="Calibri"/>
          <w:i/>
          <w:sz w:val="18"/>
        </w:rPr>
        <w:t>holt-eciaa-agreement.docx, Sections 4.1 (Company computer systems, networks, servers, email accounts and data storage systems including internal wiki and knowledge management platforms are Company property) and 4.3 (monitoring and consent to monitoring of file access and data transfers); skyvault-complaint.docx para. 44 (alleging broad access to AeroCore, sensor fusion algorithms, flight path optimization models, swarm communication protocols, LiDAR hardware integration specifications, and customer lists and pricing strategies through customer demonstrations and proposal development) and paras. 40 and 93 (alleging password-protected systems and limiting access to authorized personnel).</w:t>
      </w:r>
    </w:p>
    <w:p>
      <w:pPr>
        <w:spacing w:after="100"/>
        <w:ind w:left="518"/>
        <w:jc w:val="both"/>
      </w:pPr>
      <w:r>
        <w:rPr>
          <w:rFonts w:ascii="Calibri" w:hAnsi="Calibri"/>
          <w:b/>
          <w:i/>
          <w:sz w:val="18"/>
        </w:rPr>
        <w:t xml:space="preserve">Evidentiary purpose: </w:t>
      </w:r>
      <w:r>
        <w:rPr>
          <w:rFonts w:ascii="Calibri" w:hAnsi="Calibri"/>
          <w:i/>
          <w:sz w:val="18"/>
        </w:rPr>
        <w:t>Establishes the actual scope of Holt's authorized access from his own account, which is the foundation for evaluating the Complaint's access-based trade secret theory. The answer also frames whether SkyVault's access controls were as restrictive as paras. 40 and 93 assert, and whether any access restriction or permission change was ever communicated to him before February 2018.</w:t>
      </w:r>
    </w:p>
    <w:p>
      <w:pPr>
        <w:spacing w:before="120" w:after="40"/>
        <w:ind w:left="259"/>
      </w:pPr>
      <w:r>
        <w:rPr>
          <w:rFonts w:ascii="Calibri" w:hAnsi="Calibri"/>
          <w:b/>
          <w:i w:val="0"/>
          <w:sz w:val="20"/>
        </w:rPr>
        <w:t>Q-A5.  Describe how a typical engineer at SkyVault used the Confluence workspace — what was stored there, whether downloading or exporting workspace content to a local drive was routine, and whether you were ever given any instruction, training or written policy about moving workspace content off the system.</w:t>
      </w:r>
    </w:p>
    <w:p>
      <w:pPr>
        <w:spacing w:after="40"/>
        <w:ind w:left="518"/>
        <w:jc w:val="both"/>
      </w:pPr>
      <w:r>
        <w:rPr>
          <w:rFonts w:ascii="Calibri" w:hAnsi="Calibri"/>
          <w:b/>
          <w:i/>
          <w:sz w:val="18"/>
        </w:rPr>
        <w:t xml:space="preserve">Source: </w:t>
      </w:r>
      <w:r>
        <w:rPr>
          <w:rFonts w:ascii="Calibri" w:hAnsi="Calibri"/>
          <w:i/>
          <w:sz w:val="18"/>
        </w:rPr>
        <w:t>exhibit-f-forensic-log.xlsx, "Forensic Log" sheet, Rows #1-#32 (FILE_VIEW, FILE_DOWNLOAD and BULK_EXPORT events by user account mholt from Confluence across /SkyVault/Engineering/SensorFusion/, /FlightPath/, /SwarmProtocol/ and /HardwareIntegration/ between 01/03/2018 and 02/08/2018, including six BULK_EXPORT events at Rows #27-#32 with destinations on Local Disk C:\Users\mholt\Downloads); holt-eciaa-agreement.docx, Sections 4.1 and 4.2 (prohibiting transfer of Company data to personal devices or accounts and connection of personal storage devices without prior written approval of the supervisor or IT department).</w:t>
      </w:r>
    </w:p>
    <w:p>
      <w:pPr>
        <w:spacing w:after="100"/>
        <w:ind w:left="518"/>
        <w:jc w:val="both"/>
      </w:pPr>
      <w:r>
        <w:rPr>
          <w:rFonts w:ascii="Calibri" w:hAnsi="Calibri"/>
          <w:b/>
          <w:i/>
          <w:sz w:val="18"/>
        </w:rPr>
        <w:t xml:space="preserve">Evidentiary purpose: </w:t>
      </w:r>
      <w:r>
        <w:rPr>
          <w:rFonts w:ascii="Calibri" w:hAnsi="Calibri"/>
          <w:i/>
          <w:sz w:val="18"/>
        </w:rPr>
        <w:t>Tests whether the conduct Exhibit F records was unusual or was ordinary workplace practice, and whether SkyVault ever communicated the Section 4.2 approval requirement in practice. This is directly relevant to the trade secret claim's reasonable-secrecy element and to any argument that Holt lacked fair notice of the restriction. It also identifies the SkyVault personnel (IT, HR, supervisors) who can confirm or rebut the practice testimony.</w:t>
      </w:r>
    </w:p>
    <w:p>
      <w:pPr>
        <w:spacing w:before="120" w:after="40"/>
        <w:ind w:left="259"/>
      </w:pPr>
      <w:r>
        <w:rPr>
          <w:rFonts w:ascii="Calibri" w:hAnsi="Calibri"/>
          <w:b/>
          <w:i w:val="0"/>
          <w:sz w:val="20"/>
        </w:rPr>
        <w:t>Q-A6.  Turning to the events of February 2018: describe what you did with SkyVault workspace content in the days before your last day, including any export, copy or transfer of files, and tell me what you did with any copies afterwards.</w:t>
      </w:r>
    </w:p>
    <w:p>
      <w:pPr>
        <w:spacing w:after="40"/>
        <w:ind w:left="518"/>
        <w:jc w:val="both"/>
      </w:pPr>
      <w:r>
        <w:rPr>
          <w:rFonts w:ascii="Calibri" w:hAnsi="Calibri"/>
          <w:b/>
          <w:i/>
          <w:sz w:val="18"/>
        </w:rPr>
        <w:t xml:space="preserve">Source: </w:t>
      </w:r>
      <w:r>
        <w:rPr>
          <w:rFonts w:ascii="Calibri" w:hAnsi="Calibri"/>
          <w:i/>
          <w:sz w:val="18"/>
        </w:rPr>
        <w:t>exhibit-f-forensic-log.xlsx, Rows #27-#32 (six BULK_EXPORT events from 02/02/2018 through 02/08/2018 totaling 1,526 files and approximately 9,681 MB to local export folders, including 84 files from /SkyVault/Business/CustomerData/ at Row #32), Row #33 (USB_DEVICE_CONNECTED on 02/09/2018 at 02:17:44 UTC / 08:17:44 PM CT on 02/08, SanDisk Ultra 128GB, device identifier USB\VID_0781&amp;PID_5581\4C530001221029118035), Row #34 (BULK_COPY_TO_REMOVABLE on 02/09/2018 at 02:18:12 UTC / 08:18:12 PM CT on 02/08, 4,700 files, 18,473.2 MB, destination Removable Disk F:\SkyVault_Export\, flagged ALERT — bulk transfer to removable media exceeds threshold (&gt;500 files)), and Row #35 (USB_DEVICE_DISCONNECTED at 03:42:58 UTC / 09:42:58 PM CT on 02/08).</w:t>
      </w:r>
    </w:p>
    <w:p>
      <w:pPr>
        <w:spacing w:after="100"/>
        <w:ind w:left="518"/>
        <w:jc w:val="both"/>
      </w:pPr>
      <w:r>
        <w:rPr>
          <w:rFonts w:ascii="Calibri" w:hAnsi="Calibri"/>
          <w:b/>
          <w:i/>
          <w:sz w:val="18"/>
        </w:rPr>
        <w:t xml:space="preserve">Evidentiary purpose: </w:t>
      </w:r>
      <w:r>
        <w:rPr>
          <w:rFonts w:ascii="Calibri" w:hAnsi="Calibri"/>
          <w:i/>
          <w:sz w:val="18"/>
        </w:rPr>
        <w:t>Fixes the central factual event in the case from the witness rather than from SkyVault's extract. The event timestamps and the time-zone discrepancy matter: Exhibit F's own "Event Date" column records 02/09/2018 while the "Event Time (CT)" column records 08:17:44 PM on 02/08, so the interview must establish which calendar day Holt recalls and what he was doing at that hour. The destination path F:\SkyVault_Export\ and the SanDisk device serial are the two identifiers that will be used to test any later claim about where the files went.</w:t>
      </w:r>
    </w:p>
    <w:p>
      <w:pPr>
        <w:spacing w:before="120" w:after="40"/>
        <w:ind w:left="259"/>
      </w:pPr>
      <w:r>
        <w:rPr>
          <w:rFonts w:ascii="Calibri" w:hAnsi="Calibri"/>
          <w:b/>
          <w:i w:val="0"/>
          <w:sz w:val="20"/>
        </w:rPr>
        <w:t>Q-A7.  Exhibit F records that on 02/15/2018 you attended an exit interview and, according to SkyVault's IT notes, declined to return or identify the USB device. Tell me what happened at that exit interview, what you were asked to return, what you did with the device and any copies, and whether you have ever certified the deletion or destruction of SkyVault material.</w:t>
      </w:r>
    </w:p>
    <w:p>
      <w:pPr>
        <w:spacing w:after="40"/>
        <w:ind w:left="518"/>
        <w:jc w:val="both"/>
      </w:pPr>
      <w:r>
        <w:rPr>
          <w:rFonts w:ascii="Calibri" w:hAnsi="Calibri"/>
          <w:b/>
          <w:i/>
          <w:sz w:val="18"/>
        </w:rPr>
        <w:t xml:space="preserve">Source: </w:t>
      </w:r>
      <w:r>
        <w:rPr>
          <w:rFonts w:ascii="Calibri" w:hAnsi="Calibri"/>
          <w:i/>
          <w:sz w:val="18"/>
        </w:rPr>
        <w:t>exhibit-f-forensic-log.xlsx, Row #46 (ADMIN_NOTE dated 02/15/2018: "Exit interview for M. Holt completed by HR. Employee declined to return or identify USB device. Laptop SV-ENG-WS-014 retained by IT for forensic imaging") and Row #40 (exit interview scheduled 02/15/2018, IT to preserve logs and endpoint data per litigation hold); skyvault-complaint.docx paras. 52 (alleging Holt did not return the USB device or the files and did not certify destruction of copies) and 50 (citing Exhibit F for the bulk download event); holt-eciaa-agreement.docx, Sections 3.5(a)-(c) (duty to return Company Materials, permanently delete or destroy electronic copies on personal devices, accounts or media, and certify compliance in writing) and 4.4 (exit procedures and separation certification).</w:t>
      </w:r>
    </w:p>
    <w:p>
      <w:pPr>
        <w:spacing w:after="100"/>
        <w:ind w:left="518"/>
        <w:jc w:val="both"/>
      </w:pPr>
      <w:r>
        <w:rPr>
          <w:rFonts w:ascii="Calibri" w:hAnsi="Calibri"/>
          <w:b/>
          <w:i/>
          <w:sz w:val="18"/>
        </w:rPr>
        <w:t xml:space="preserve">Evidentiary purpose: </w:t>
      </w:r>
      <w:r>
        <w:rPr>
          <w:rFonts w:ascii="Calibri" w:hAnsi="Calibri"/>
          <w:i/>
          <w:sz w:val="18"/>
        </w:rPr>
        <w:t>This is the highest-exposure question in the Holt interview and the one on which the breach-of-contract count (Complaint paras. 128(a), 128(b)) most directly turns, because Section 3.5 requires an affirmative written certification that Holt must either produce or explain. The question also establishes whether the device and any copies still exist, which governs the practicality of any return, deletion or forensic examination and therefore the scope of injunctive relief that could be stipulated to later. Because Holt is a party to the ECIAA, counsel should complete a conflicts check before this line of questioning and should not press for a legal characterization of Section 3.5 during the interview.</w:t>
      </w:r>
    </w:p>
    <w:p>
      <w:pPr>
        <w:spacing w:before="120" w:after="40"/>
        <w:ind w:left="259"/>
      </w:pPr>
      <w:r>
        <w:rPr>
          <w:rFonts w:ascii="Calibri" w:hAnsi="Calibri"/>
          <w:b/>
          <w:i w:val="0"/>
          <w:sz w:val="20"/>
        </w:rPr>
        <w:t>Q-A8.  Describe your departure from SkyVault and your founding of Meridian — the date you resigned, your last day, the date Meridian was formed, who else was involved, and when you began technical work on what became PathForge.</w:t>
      </w:r>
    </w:p>
    <w:p>
      <w:pPr>
        <w:spacing w:after="40"/>
        <w:ind w:left="518"/>
        <w:jc w:val="both"/>
      </w:pPr>
      <w:r>
        <w:rPr>
          <w:rFonts w:ascii="Calibri" w:hAnsi="Calibri"/>
          <w:b/>
          <w:i/>
          <w:sz w:val="18"/>
        </w:rPr>
        <w:t xml:space="preserve">Source: </w:t>
      </w:r>
      <w:r>
        <w:rPr>
          <w:rFonts w:ascii="Calibri" w:hAnsi="Calibri"/>
          <w:i/>
          <w:sz w:val="18"/>
        </w:rPr>
        <w:t>skyvault-complaint.docx paras. 2 (alleging departure and co-founding approximately two months later), 43 (alleging resignation effective February 16, 2018), 53 (alleging incorporation on or about April 11, 2018 with Priya Chandrasekaran and Holt's assumption of the CTO role) and 9 (alleging Meridian formed April 11, 2018); holt-eciaa-agreement.docx, Sections 7.1(a)-(b) (twelve-month non-solicitation period measured from termination of employment, including a six-month lookback on hiring former SkyVault employees); pathforge-whitepaper-excerpt.docx, Section 1 ("Developed from the ground up beginning in 2018") and Section 7.2 first timeline bullet (April 2018: Meridian Dynamics, Inc. incorporated in Delaware; PathForge development begins under Dr. Marcus Holt's technical leadership).</w:t>
      </w:r>
    </w:p>
    <w:p>
      <w:pPr>
        <w:spacing w:after="100"/>
        <w:ind w:left="518"/>
        <w:jc w:val="both"/>
      </w:pPr>
      <w:r>
        <w:rPr>
          <w:rFonts w:ascii="Calibri" w:hAnsi="Calibri"/>
          <w:b/>
          <w:i/>
          <w:sz w:val="18"/>
        </w:rPr>
        <w:t xml:space="preserve">Evidentiary purpose: </w:t>
      </w:r>
      <w:r>
        <w:rPr>
          <w:rFonts w:ascii="Calibri" w:hAnsi="Calibri"/>
          <w:i/>
          <w:sz w:val="18"/>
        </w:rPr>
        <w:t>Establishes the chronology that the Complaint uses to argue that the speed of PathForge development is "consistent with" misappropriation (Complaint paras. 54 and 140). The interview should pin down the gap between the last day of SkyVault employment and the first day of PathForge technical work, because that interval is the most readily testable element of the Plaintiff's inference and the one Meridian's own records can corroborate. It also develops the facts relevant to ECIAA Section 7.1, which the Complaint does not plead as a breach but which the Plaintiff could add by amendment.</w:t>
      </w:r>
    </w:p>
    <w:p>
      <w:pPr>
        <w:spacing w:before="120" w:after="40"/>
        <w:ind w:left="259"/>
      </w:pPr>
      <w:r>
        <w:rPr>
          <w:rFonts w:ascii="Calibri" w:hAnsi="Calibri"/>
          <w:b/>
          <w:i w:val="0"/>
          <w:sz w:val="20"/>
        </w:rPr>
        <w:t>Q-A9.  Who joined Meridian from SkyVault, when, and what roles did they take; and describe how you handled recruiting and hiring in the twelve months after you left SkyVault.</w:t>
      </w:r>
    </w:p>
    <w:p>
      <w:pPr>
        <w:spacing w:after="40"/>
        <w:ind w:left="518"/>
        <w:jc w:val="both"/>
      </w:pPr>
      <w:r>
        <w:rPr>
          <w:rFonts w:ascii="Calibri" w:hAnsi="Calibri"/>
          <w:b/>
          <w:i/>
          <w:sz w:val="18"/>
        </w:rPr>
        <w:t xml:space="preserve">Source: </w:t>
      </w:r>
      <w:r>
        <w:rPr>
          <w:rFonts w:ascii="Calibri" w:hAnsi="Calibri"/>
          <w:i/>
          <w:sz w:val="18"/>
        </w:rPr>
        <w:t>holt-eciaa-agreement.docx, Sections 7.1(a) (no soliciting, recruiting, encouraging or inducing any SkyVault employee to terminate employment) and 7.1(b) (no hiring or engaging any person who is, or was within the six months prior, a SkyVault employee); skyvault-complaint.docx para. 53 (alleging Holt co-founded Meridian with Priya Chandrasekaran in April 2018).</w:t>
      </w:r>
    </w:p>
    <w:p>
      <w:pPr>
        <w:spacing w:after="100"/>
        <w:ind w:left="518"/>
        <w:jc w:val="both"/>
      </w:pPr>
      <w:r>
        <w:rPr>
          <w:rFonts w:ascii="Calibri" w:hAnsi="Calibri"/>
          <w:b/>
          <w:i/>
          <w:sz w:val="18"/>
        </w:rPr>
        <w:t xml:space="preserve">Evidentiary purpose: </w:t>
      </w:r>
      <w:r>
        <w:rPr>
          <w:rFonts w:ascii="Calibri" w:hAnsi="Calibri"/>
          <w:i/>
          <w:sz w:val="18"/>
        </w:rPr>
        <w:t>The Complaint does not plead a non-solicitation breach, but ECIAA Section 7 is in the furnished record and the Plaintiff reserved the right to assert additional theories. Establishing the hiring facts now, from the witness and from Meridian's HR records, prevents an unplanned exposure later. This question is also a document-collection prompt: Meridian's recruiting records and offer letters for 2018-2019 are needed to test the assertion.</w:t>
      </w:r>
    </w:p>
    <w:p>
      <w:pPr>
        <w:spacing w:before="120" w:after="40"/>
        <w:ind w:left="259"/>
      </w:pPr>
      <w:r>
        <w:rPr>
          <w:rFonts w:ascii="Calibri" w:hAnsi="Calibri"/>
          <w:b/>
          <w:i w:val="0"/>
          <w:sz w:val="20"/>
        </w:rPr>
        <w:t>Q-A10.  Describe how you actually spent your working time between February and, say, December 2018 — what you were building, what tools you were using, what you were reading, and where that work product is now.</w:t>
      </w:r>
    </w:p>
    <w:p>
      <w:pPr>
        <w:spacing w:after="40"/>
        <w:ind w:left="518"/>
        <w:jc w:val="both"/>
      </w:pPr>
      <w:r>
        <w:rPr>
          <w:rFonts w:ascii="Calibri" w:hAnsi="Calibri"/>
          <w:b/>
          <w:i/>
          <w:sz w:val="18"/>
        </w:rPr>
        <w:t xml:space="preserve">Source: </w:t>
      </w:r>
      <w:r>
        <w:rPr>
          <w:rFonts w:ascii="Calibri" w:hAnsi="Calibri"/>
          <w:i/>
          <w:sz w:val="18"/>
        </w:rPr>
        <w:t>pathforge-whitepaper-excerpt.docx, Section 1 ("Developed from the ground up beginning in 2018") and Section 7.2 timeline (April 2018 incorporation; Q3 2018-Q4 2019 multi-sensor fusion module designed and prototyped); skyvault-complaint.docx paras. 54-55 (alleging on information and belief that Holt used misappropriated files to develop PathForge and disclosed SkyVault trade secrets to Meridian engineers).</w:t>
      </w:r>
    </w:p>
    <w:p>
      <w:pPr>
        <w:spacing w:after="100"/>
        <w:ind w:left="518"/>
        <w:jc w:val="both"/>
      </w:pPr>
      <w:r>
        <w:rPr>
          <w:rFonts w:ascii="Calibri" w:hAnsi="Calibri"/>
          <w:b/>
          <w:i/>
          <w:sz w:val="18"/>
        </w:rPr>
        <w:t xml:space="preserve">Evidentiary purpose: </w:t>
      </w:r>
      <w:r>
        <w:rPr>
          <w:rFonts w:ascii="Calibri" w:hAnsi="Calibri"/>
          <w:i/>
          <w:sz w:val="18"/>
        </w:rPr>
        <w:t>Establishes an independently corroborable account of the first ten months of PathForge work, which is the period the Complaint treats as unexplained. Because the Plaintiff's case at paras. 54-55 rests on "information and belief," a specific, records-backed account of that period is the most efficient way to displace the inference. The answer also identifies the earliest PathForge artifacts — design notes, notebooks, prototypes, repositories — that should be preserved and collected.</w:t>
      </w:r>
    </w:p>
    <w:p>
      <w:pPr>
        <w:keepNext/>
        <w:spacing w:before="220" w:after="80"/>
      </w:pPr>
      <w:r>
        <w:rPr>
          <w:rFonts w:ascii="Calibri" w:hAnsi="Calibri"/>
          <w:b/>
          <w:color w:val="1F3E6B"/>
          <w:sz w:val="21"/>
        </w:rPr>
        <w:t>A.2 — LEAD FAMILY 2: THE PRIOR WORK HOLT DISCLOSED TO SKYVAULT IN 2016</w:t>
      </w:r>
    </w:p>
    <w:p>
      <w:pPr>
        <w:spacing w:before="120" w:after="40"/>
        <w:ind w:left="259"/>
      </w:pPr>
      <w:r>
        <w:rPr>
          <w:rFonts w:ascii="Calibri" w:hAnsi="Calibri"/>
          <w:b/>
          <w:i w:val="0"/>
          <w:sz w:val="20"/>
        </w:rPr>
        <w:t>Q-A11.  I want to go through Exhibit A to your ECIAA with you. Please describe the "Autonomous Ground Vehicle Path Planning Algorithm" you listed there — what it did, when you developed it, what became of it, and what relationship it has to the navigation or path-planning work you later did at Meridian.</w:t>
      </w:r>
    </w:p>
    <w:p>
      <w:pPr>
        <w:spacing w:after="40"/>
        <w:ind w:left="518"/>
        <w:jc w:val="both"/>
      </w:pPr>
      <w:r>
        <w:rPr>
          <w:rFonts w:ascii="Calibri" w:hAnsi="Calibri"/>
          <w:b/>
          <w:i/>
          <w:sz w:val="18"/>
        </w:rPr>
        <w:t xml:space="preserve">Source: </w:t>
      </w:r>
      <w:r>
        <w:rPr>
          <w:rFonts w:ascii="Calibri" w:hAnsi="Calibri"/>
          <w:i/>
          <w:sz w:val="18"/>
        </w:rPr>
        <w:t>holt-eciaa-agreement.docx, Exhibit A Prior Inventions table, row 1 ("Autonomous Ground Vehicle Path Planning Algorithm," date 2014-2015, "Developed as part of PhD dissertation research at Georgia Institute of Technology; no patent filed"), read with Sections 5.3 (exclusion of Prior Inventions listed on Exhibit A from the scope of the Agreement) and 2.1(ii) (Confidential Information excludes information known to Employee prior to disclosure by the Company, as documented by written records); holt-eciaa-agreement.docx, recital (PhD in Robotics, Georgia Institute of Technology, 2015).</w:t>
      </w:r>
    </w:p>
    <w:p>
      <w:pPr>
        <w:spacing w:after="100"/>
        <w:ind w:left="518"/>
        <w:jc w:val="both"/>
      </w:pPr>
      <w:r>
        <w:rPr>
          <w:rFonts w:ascii="Calibri" w:hAnsi="Calibri"/>
          <w:b/>
          <w:i/>
          <w:sz w:val="18"/>
        </w:rPr>
        <w:t xml:space="preserve">Evidentiary purpose: </w:t>
      </w:r>
      <w:r>
        <w:rPr>
          <w:rFonts w:ascii="Calibri" w:hAnsi="Calibri"/>
          <w:i/>
          <w:sz w:val="18"/>
        </w:rPr>
        <w:t>Establishes the content and lineage of the one pre-employment invention Holt affirmatively disclosed, and tests whether the path-planning concepts in that work overlap the PathForge Navigation Module and adaptive path optimization described in the white paper's Section 4.3. If the overlap is real, this is the strongest documentary anchor for the independent-development defense because the disclosure predates the ECIAA by construction. The interview should also identify where the underlying dissertation, code and notes are today.</w:t>
      </w:r>
    </w:p>
    <w:p>
      <w:pPr>
        <w:spacing w:before="120" w:after="40"/>
        <w:ind w:left="259"/>
      </w:pPr>
      <w:r>
        <w:rPr>
          <w:rFonts w:ascii="Calibri" w:hAnsi="Calibri"/>
          <w:b/>
          <w:i w:val="0"/>
          <w:sz w:val="20"/>
        </w:rPr>
        <w:t>Q-A12.  Describe the "RoboNav Sensor Calibration Toolkit" you listed on Exhibit A — what it did, why you published it, under what license, who else used it, and whether any part of it found its way into PathForge.</w:t>
      </w:r>
    </w:p>
    <w:p>
      <w:pPr>
        <w:spacing w:after="40"/>
        <w:ind w:left="518"/>
        <w:jc w:val="both"/>
      </w:pPr>
      <w:r>
        <w:rPr>
          <w:rFonts w:ascii="Calibri" w:hAnsi="Calibri"/>
          <w:b/>
          <w:i/>
          <w:sz w:val="18"/>
        </w:rPr>
        <w:t xml:space="preserve">Source: </w:t>
      </w:r>
      <w:r>
        <w:rPr>
          <w:rFonts w:ascii="Calibri" w:hAnsi="Calibri"/>
          <w:i/>
          <w:sz w:val="18"/>
        </w:rPr>
        <w:t>holt-eciaa-agreement.docx, Exhibit A Prior Inventions table, row 2 ("RoboNav Sensor Calibration Toolkit (open-source)," 2015, "Published on GitHub under MIT License; available at github.com/mholt-robotics/robonav-cal"), read with Sections 5.3 and 2.1(iv) (Confidential Information excludes information disclosed to Employee by a third party not under a confidentiality obligation to the Company); pathforge-whitepaper-excerpt.docx, Section 3.2 Step 3 (Pre-Processing and Noise Filtering, including sensor calibration correction) and Section 3.3 (attributing benchmark improvements to "commercial-grade sensor calibration").</w:t>
      </w:r>
    </w:p>
    <w:p>
      <w:pPr>
        <w:spacing w:after="100"/>
        <w:ind w:left="518"/>
        <w:jc w:val="both"/>
      </w:pPr>
      <w:r>
        <w:rPr>
          <w:rFonts w:ascii="Calibri" w:hAnsi="Calibri"/>
          <w:b/>
          <w:i/>
          <w:sz w:val="18"/>
        </w:rPr>
        <w:t xml:space="preserve">Evidentiary purpose: </w:t>
      </w:r>
      <w:r>
        <w:rPr>
          <w:rFonts w:ascii="Calibri" w:hAnsi="Calibri"/>
          <w:i/>
          <w:sz w:val="18"/>
        </w:rPr>
        <w:t>Establishes a documented, publicly licensed body of Holt's own prior work that is directly adjacent to an accused PathForge capability (sensor calibration within the fusion pipeline). This supports the independent-development and prior-work defenses and simultaneously identifies the MIT-licensed codebase whose commit history and license file can be independently verified. The question also begins the attribution analysis for any third-party or open-source component that may be present in PathForge, which is a separate and independent development story from SkyVault.</w:t>
      </w:r>
    </w:p>
    <w:p>
      <w:pPr>
        <w:spacing w:before="120" w:after="40"/>
        <w:ind w:left="259"/>
      </w:pPr>
      <w:r>
        <w:rPr>
          <w:rFonts w:ascii="Calibri" w:hAnsi="Calibri"/>
          <w:b/>
          <w:i w:val="0"/>
          <w:sz w:val="20"/>
        </w:rPr>
        <w:t>Q-A13.  When you signed Exhibit A on June 13, 2016, was the list complete as far as you understood it? Were there any other prior inventions, tools, codebases or publications of yours that you considered but decided not to list?</w:t>
      </w:r>
    </w:p>
    <w:p>
      <w:pPr>
        <w:spacing w:after="40"/>
        <w:ind w:left="518"/>
        <w:jc w:val="both"/>
      </w:pPr>
      <w:r>
        <w:rPr>
          <w:rFonts w:ascii="Calibri" w:hAnsi="Calibri"/>
          <w:b/>
          <w:i/>
          <w:sz w:val="18"/>
        </w:rPr>
        <w:t xml:space="preserve">Source: </w:t>
      </w:r>
      <w:r>
        <w:rPr>
          <w:rFonts w:ascii="Calibri" w:hAnsi="Calibri"/>
          <w:i/>
          <w:sz w:val="18"/>
        </w:rPr>
        <w:t>holt-eciaa-agreement.docx, Exhibit A Prior Inventions Disclosure, final paragraph ("If no Prior Inventions are listed above, Employee represents that there are no Prior Inventions to disclose") and the employee initials "M.H." and date June 13, 2016; holt-eciaa-agreement.docx, Section 5.3 (Exclusions) and Section 9.3 (Entire Agreement).</w:t>
      </w:r>
    </w:p>
    <w:p>
      <w:pPr>
        <w:spacing w:after="100"/>
        <w:ind w:left="518"/>
        <w:jc w:val="both"/>
      </w:pPr>
      <w:r>
        <w:rPr>
          <w:rFonts w:ascii="Calibri" w:hAnsi="Calibri"/>
          <w:b/>
          <w:i/>
          <w:sz w:val="18"/>
        </w:rPr>
        <w:t xml:space="preserve">Evidentiary purpose: </w:t>
      </w:r>
      <w:r>
        <w:rPr>
          <w:rFonts w:ascii="Calibri" w:hAnsi="Calibri"/>
          <w:i/>
          <w:sz w:val="18"/>
        </w:rPr>
        <w:t>Tests the completeness of the 2016 disclosure, which is both a defensive asset and a potential exposure: if Holt had other prior work he failed to list, the Plaintiff will characterize that as concealment, and if he had none, the two listed items are the full universe of pre-employment technology he can claim. This also lays groundwork for identifying additional prior publications (papers, conference talks, repositories) that may independently pre-date or anticipate the accused functionality.</w:t>
      </w:r>
    </w:p>
    <w:p>
      <w:pPr>
        <w:spacing w:before="120" w:after="40"/>
        <w:ind w:left="259"/>
      </w:pPr>
      <w:r>
        <w:rPr>
          <w:rFonts w:ascii="Calibri" w:hAnsi="Calibri"/>
          <w:b/>
          <w:i w:val="0"/>
          <w:sz w:val="20"/>
        </w:rPr>
        <w:t>Q-A14.  Describe any work you did on autonomous navigation, sensor fusion or path planning between 2015 and June 2016, before you joined SkyVault, and identify any documents, publications or repositories from that period.</w:t>
      </w:r>
    </w:p>
    <w:p>
      <w:pPr>
        <w:spacing w:after="40"/>
        <w:ind w:left="518"/>
        <w:jc w:val="both"/>
      </w:pPr>
      <w:r>
        <w:rPr>
          <w:rFonts w:ascii="Calibri" w:hAnsi="Calibri"/>
          <w:b/>
          <w:i/>
          <w:sz w:val="18"/>
        </w:rPr>
        <w:t xml:space="preserve">Source: </w:t>
      </w:r>
      <w:r>
        <w:rPr>
          <w:rFonts w:ascii="Calibri" w:hAnsi="Calibri"/>
          <w:i/>
          <w:sz w:val="18"/>
        </w:rPr>
        <w:t>holt-eciaa-agreement.docx, Section 2.1(ii) (information known to Employee prior to disclosure by the Company, as documented by written records, is excluded from Confidential Information) and Section 3.4 (preservation of general skills, knowledge, experience and expertise, and the right to use publicly available information and general industry knowledge); holt-eciaa-agreement.docx, Exhibit A Prior Inventions table (both rows dated 2014-2015 and 2015).</w:t>
      </w:r>
    </w:p>
    <w:p>
      <w:pPr>
        <w:spacing w:after="100"/>
        <w:ind w:left="518"/>
        <w:jc w:val="both"/>
      </w:pPr>
      <w:r>
        <w:rPr>
          <w:rFonts w:ascii="Calibri" w:hAnsi="Calibri"/>
          <w:b/>
          <w:i/>
          <w:sz w:val="18"/>
        </w:rPr>
        <w:t xml:space="preserve">Evidentiary purpose: </w:t>
      </w:r>
      <w:r>
        <w:rPr>
          <w:rFonts w:ascii="Calibri" w:hAnsi="Calibri"/>
          <w:i/>
          <w:sz w:val="18"/>
        </w:rPr>
        <w:t>Fills the one-year gap between the Exhibit A entries and the June 2016 start date, and identifies the written records that ECIAA Section 2.1(ii) requires if prior knowledge is to be excluded from Confidential Information. Because that exclusion is conditioned on documentation, this question is as much a document-collection task as a factual one, and the answer determines whether the exclusion is available at all.</w:t>
      </w:r>
    </w:p>
    <w:p>
      <w:pPr>
        <w:keepNext/>
        <w:spacing w:before="220" w:after="80"/>
      </w:pPr>
      <w:r>
        <w:rPr>
          <w:rFonts w:ascii="Calibri" w:hAnsi="Calibri"/>
          <w:b/>
          <w:color w:val="1F3E6B"/>
          <w:sz w:val="21"/>
        </w:rPr>
        <w:t>A.3 — LEAD FAMILY 3: THE TRUE DEVELOPMENT STARTING POINT FOR EACH PATHFORGE MODULE</w:t>
      </w:r>
    </w:p>
    <w:p>
      <w:pPr>
        <w:spacing w:before="120" w:after="40"/>
        <w:ind w:left="259"/>
      </w:pPr>
      <w:r>
        <w:rPr>
          <w:rFonts w:ascii="Calibri" w:hAnsi="Calibri"/>
          <w:b/>
          <w:i w:val="0"/>
          <w:sz w:val="20"/>
        </w:rPr>
        <w:t>Q-A15.  Take me module by module. For the multi-sensor fusion and obstacle avoidance capability: when did design work actually begin, who worked on it, and what did the first version look like?</w:t>
      </w:r>
    </w:p>
    <w:p>
      <w:pPr>
        <w:spacing w:after="40"/>
        <w:ind w:left="518"/>
        <w:jc w:val="both"/>
      </w:pPr>
      <w:r>
        <w:rPr>
          <w:rFonts w:ascii="Calibri" w:hAnsi="Calibri"/>
          <w:b/>
          <w:i/>
          <w:sz w:val="18"/>
        </w:rPr>
        <w:t xml:space="preserve">Source: </w:t>
      </w:r>
      <w:r>
        <w:rPr>
          <w:rFonts w:ascii="Calibri" w:hAnsi="Calibri"/>
          <w:i/>
          <w:sz w:val="18"/>
        </w:rPr>
        <w:t>pathforge-whitepaper-excerpt.docx, Section 1 (three core technology pillars) and Section 7.2 timeline bullet (Q3 2018-Q4 2019: multi-sensor fusion module designed and prototyped; architecture informed by review of published literature including Vasquez (2016) and Nakamura and Okonkwo (2015)); pathforge-whitepaper-excerpt.docx, Sections 3.1-3.3 (sensor suite, extended Kalman filter framework, seven-stage pipeline, performance benchmarks); skyvault-complaint.docx, claim chart table for the '561 Patent, claim 1 (mapping claim limitations to PathForge's "Sensor Integration Layer," "Threat Assessment Module," "Dynamic Path Replanner" and "Flight Controller API"); skyvault-complaint.docx paras. 27-28, 65-68 (the '561 Patent, filed March 14, 2017, naming Dr. Rajan Mehta as sole inventor).</w:t>
      </w:r>
    </w:p>
    <w:p>
      <w:pPr>
        <w:spacing w:after="100"/>
        <w:ind w:left="518"/>
        <w:jc w:val="both"/>
      </w:pPr>
      <w:r>
        <w:rPr>
          <w:rFonts w:ascii="Calibri" w:hAnsi="Calibri"/>
          <w:b/>
          <w:i/>
          <w:sz w:val="18"/>
        </w:rPr>
        <w:t xml:space="preserve">Evidentiary purpose: </w:t>
      </w:r>
      <w:r>
        <w:rPr>
          <w:rFonts w:ascii="Calibri" w:hAnsi="Calibri"/>
          <w:i/>
          <w:sz w:val="18"/>
        </w:rPr>
        <w:t>Separates a single accused capability into its constituent technical modules so that each can be traced to its own origin. The Complaint's claim chart treats the fusion pillar as one feature set; the white paper's Section 7.2 timeline asserts a Q3 2018-Q4 2019 development window that begins after Holt left SkyVault. The interview must establish which specific components existed when, because a module-by-module chronology is the only way to test the Plaintiff's timeline inference and to allocate the defense between independent development, prior art, and non-infringement.</w:t>
      </w:r>
    </w:p>
    <w:p>
      <w:pPr>
        <w:spacing w:before="120" w:after="40"/>
        <w:ind w:left="259"/>
      </w:pPr>
      <w:r>
        <w:rPr>
          <w:rFonts w:ascii="Calibri" w:hAnsi="Calibri"/>
          <w:b/>
          <w:i w:val="0"/>
          <w:sz w:val="20"/>
        </w:rPr>
        <w:t>Q-A16.  Same question for the GPS-denied navigation and adaptive path optimization capability: when did that work begin, who did it, and what was the first working version?</w:t>
      </w:r>
    </w:p>
    <w:p>
      <w:pPr>
        <w:spacing w:after="40"/>
        <w:ind w:left="518"/>
        <w:jc w:val="both"/>
      </w:pPr>
      <w:r>
        <w:rPr>
          <w:rFonts w:ascii="Calibri" w:hAnsi="Calibri"/>
          <w:b/>
          <w:i/>
          <w:sz w:val="18"/>
        </w:rPr>
        <w:t xml:space="preserve">Source: </w:t>
      </w:r>
      <w:r>
        <w:rPr>
          <w:rFonts w:ascii="Calibri" w:hAnsi="Calibri"/>
          <w:i/>
          <w:sz w:val="18"/>
        </w:rPr>
        <w:t>pathforge-whitepaper-excerpt.docx, Section 7.2 timeline bullet (Q1 2019-Q3 2020: GPS-denied navigation module developed; design informed by academic visual-inertial odometry research and publicly available implementations including the DroneNav open-source project (2017)); pathforge-whitepaper-excerpt.docx, Sections 4.2-4.4 (VIO pipeline, sliding-window optimization, keyframe-based map management, IMU pre-integration, adaptive flight path optimization, GPS-denied performance table); skyvault-complaint.docx paras. 29 and 75-77 (the '227 Patent, filed November 9, 2018, naming Dr. Rajan Mehta and Dr. Anita Venkatesh).</w:t>
      </w:r>
    </w:p>
    <w:p>
      <w:pPr>
        <w:spacing w:after="100"/>
        <w:ind w:left="518"/>
        <w:jc w:val="both"/>
      </w:pPr>
      <w:r>
        <w:rPr>
          <w:rFonts w:ascii="Calibri" w:hAnsi="Calibri"/>
          <w:b/>
          <w:i/>
          <w:sz w:val="18"/>
        </w:rPr>
        <w:t xml:space="preserve">Evidentiary purpose: </w:t>
      </w:r>
      <w:r>
        <w:rPr>
          <w:rFonts w:ascii="Calibri" w:hAnsi="Calibri"/>
          <w:i/>
          <w:sz w:val="18"/>
        </w:rPr>
        <w:t>Tests the white paper's own timeline against the witness's recollection and against records. The asserted Q1 2019 start is significant because the '227 Patent was filed November 9, 2018, so the chronology matters to both the derivation theory and any independent-development narrative. This question also identifies the specific PathForge code that corresponds to the accused "Dynamic Path Replanner" and "adaptive flight path optimization" features, which is the code that will eventually have to be compared to the AeroCore files named in the Complaint.</w:t>
      </w:r>
    </w:p>
    <w:p>
      <w:pPr>
        <w:spacing w:before="120" w:after="40"/>
        <w:ind w:left="259"/>
      </w:pPr>
      <w:r>
        <w:rPr>
          <w:rFonts w:ascii="Calibri" w:hAnsi="Calibri"/>
          <w:b/>
          <w:i w:val="0"/>
          <w:sz w:val="20"/>
        </w:rPr>
        <w:t>Q-A17.  Same question for the swarm coordination and communication capability: when did it begin, who worked on it, and how did the protocol design evolve?</w:t>
      </w:r>
    </w:p>
    <w:p>
      <w:pPr>
        <w:spacing w:after="40"/>
        <w:ind w:left="518"/>
        <w:jc w:val="both"/>
      </w:pPr>
      <w:r>
        <w:rPr>
          <w:rFonts w:ascii="Calibri" w:hAnsi="Calibri"/>
          <w:b/>
          <w:i/>
          <w:sz w:val="18"/>
        </w:rPr>
        <w:t xml:space="preserve">Source: </w:t>
      </w:r>
      <w:r>
        <w:rPr>
          <w:rFonts w:ascii="Calibri" w:hAnsi="Calibri"/>
          <w:i/>
          <w:sz w:val="18"/>
        </w:rPr>
        <w:t>pathforge-whitepaper-excerpt.docx, Section 5.1 ("The swarm module was developed beginning in 2019, with first production deployment in early 2021") and Section 7.2 timeline bullet (Q2 2019-Q1 2021: swarm coordination protocol designed and tested; protocol design based on published distributed systems and MANET research, including consensus algorithms for multi-robot coordination (Ferreira et al., 2016)); pathforge-whitepaper-excerpt.docx, Sections 5.2-5.4 (mesh networking at 900 MHz or 2.4 GHz, low-latency message protocol, heartbeat broadcasts, decentralized consensus, priority-based deconfliction, scalability results); skyvault-complaint.docx paras. 30 and 82-86 (the '889 Patent, filed June 22, 2020, naming Dr. Rajan Mehta, Dr. Anita Venkatesh and Kevin Larsson).</w:t>
      </w:r>
    </w:p>
    <w:p>
      <w:pPr>
        <w:spacing w:after="100"/>
        <w:ind w:left="518"/>
        <w:jc w:val="both"/>
      </w:pPr>
      <w:r>
        <w:rPr>
          <w:rFonts w:ascii="Calibri" w:hAnsi="Calibri"/>
          <w:b/>
          <w:i/>
          <w:sz w:val="18"/>
        </w:rPr>
        <w:t xml:space="preserve">Evidentiary purpose: </w:t>
      </w:r>
      <w:r>
        <w:rPr>
          <w:rFonts w:ascii="Calibri" w:hAnsi="Calibri"/>
          <w:i/>
          <w:sz w:val="18"/>
        </w:rPr>
        <w:t>Isolates the swarm module, which the white paper itself describes as an independent engineering effort with its own start date and its own literature base. Because the '889 Patent was filed June 22, 2020 — after PathForge's September 2020 launch but within the asserted swarm development window — the timing of the swarm work is unusually consequential and should be documented with commit and release records rather than recollection alone.</w:t>
      </w:r>
    </w:p>
    <w:p>
      <w:pPr>
        <w:spacing w:before="120" w:after="40"/>
        <w:ind w:left="259"/>
      </w:pPr>
      <w:r>
        <w:rPr>
          <w:rFonts w:ascii="Calibri" w:hAnsi="Calibri"/>
          <w:b/>
          <w:i w:val="0"/>
          <w:sz w:val="20"/>
        </w:rPr>
        <w:t>Q-A18.  For each module, identify the actual source code: the repository, the file names, who authored the initial versions, and what third-party or open-source dependencies were brought in. I am looking for a list I can use to request the records.</w:t>
      </w:r>
    </w:p>
    <w:p>
      <w:pPr>
        <w:spacing w:after="40"/>
        <w:ind w:left="518"/>
        <w:jc w:val="both"/>
      </w:pPr>
      <w:r>
        <w:rPr>
          <w:rFonts w:ascii="Calibri" w:hAnsi="Calibri"/>
          <w:b/>
          <w:i/>
          <w:sz w:val="18"/>
        </w:rPr>
        <w:t xml:space="preserve">Source: </w:t>
      </w:r>
      <w:r>
        <w:rPr>
          <w:rFonts w:ascii="Calibri" w:hAnsi="Calibri"/>
          <w:i/>
          <w:sz w:val="18"/>
        </w:rPr>
        <w:t>skyvault-complaint.docx paras. 33 and 116 (identifying the AeroCore source files `navfusion.c`, `pathoptengine.h` and `swarm_proto.cpp`) and paras. 118-120 (alleging that PathForge firmware contains substantially similar code, including in "structure, sequence, and organization"); skyvault-complaint.docx para. 61(iii) (demanding "a full forensic audit of Meridian's source code repositories"); meridian-cd-response.docx para. 15 (declining to provide access to source code repositories for any forensic audit, calling the demand premature, overbroad and without legal basis outside formal litigation with protective measures).</w:t>
      </w:r>
    </w:p>
    <w:p>
      <w:pPr>
        <w:spacing w:after="100"/>
        <w:ind w:left="518"/>
        <w:jc w:val="both"/>
      </w:pPr>
      <w:r>
        <w:rPr>
          <w:rFonts w:ascii="Calibri" w:hAnsi="Calibri"/>
          <w:b/>
          <w:i/>
          <w:sz w:val="18"/>
        </w:rPr>
        <w:t xml:space="preserve">Evidentiary purpose: </w:t>
      </w:r>
      <w:r>
        <w:rPr>
          <w:rFonts w:ascii="Calibri" w:hAnsi="Calibri"/>
          <w:i/>
          <w:sz w:val="18"/>
        </w:rPr>
        <w:t>This is the single most important document-collection question in the interview. The Complaint's copyright count names three AeroCore files but asserts similarity in the abstract; the answer identifies the PathForge counterparts by repository, path and author so that a technical comparison can be scoped, sequenced and performed under protective order rather than argued from the white paper. It also frames the response to the Plaintiff's audit demand recorded at Complaint para. 61(iii) and refused at April 5 Response para. 15.</w:t>
      </w:r>
    </w:p>
    <w:p>
      <w:pPr>
        <w:spacing w:before="120" w:after="40"/>
        <w:ind w:left="259"/>
      </w:pPr>
      <w:r>
        <w:rPr>
          <w:rFonts w:ascii="Calibri" w:hAnsi="Calibri"/>
          <w:b/>
          <w:i w:val="0"/>
          <w:sz w:val="20"/>
        </w:rPr>
        <w:t>Q-A19.  Describe the software development practices at Meridian in the 2018-2021 period — version control, code review, dependency management, licensing review, testing and release records — and tell me which of those records still exist and where.</w:t>
      </w:r>
    </w:p>
    <w:p>
      <w:pPr>
        <w:spacing w:after="40"/>
        <w:ind w:left="518"/>
        <w:jc w:val="both"/>
      </w:pPr>
      <w:r>
        <w:rPr>
          <w:rFonts w:ascii="Calibri" w:hAnsi="Calibri"/>
          <w:b/>
          <w:i/>
          <w:sz w:val="18"/>
        </w:rPr>
        <w:t xml:space="preserve">Source: </w:t>
      </w:r>
      <w:r>
        <w:rPr>
          <w:rFonts w:ascii="Calibri" w:hAnsi="Calibri"/>
          <w:i/>
          <w:sz w:val="18"/>
        </w:rPr>
        <w:t>pathforge-whitepaper-excerpt.docx, Section 7.1 (modules "independently developed, independently deployable, and independently priced") and Section 7.2 final paragraph ("All PathForge technology was developed independently by the Meridian engineering team"); meridian-cd-response.docx para. 11 ("Meridian independently developed its PathForge platform through the efforts of its engineering teams" and "maintains robust internal compliance processes designed to safeguard against the unauthorized use of third-party intellectual property"); skyvault-complaint.docx paras. 118-119 (alleging copying of code and asserting that the similarities "cannot be explained by independent creation").</w:t>
      </w:r>
    </w:p>
    <w:p>
      <w:pPr>
        <w:spacing w:after="100"/>
        <w:ind w:left="518"/>
        <w:jc w:val="both"/>
      </w:pPr>
      <w:r>
        <w:rPr>
          <w:rFonts w:ascii="Calibri" w:hAnsi="Calibri"/>
          <w:b/>
          <w:i/>
          <w:sz w:val="18"/>
        </w:rPr>
        <w:t xml:space="preserve">Evidentiary purpose: </w:t>
      </w:r>
      <w:r>
        <w:rPr>
          <w:rFonts w:ascii="Calibri" w:hAnsi="Calibri"/>
          <w:i/>
          <w:sz w:val="18"/>
        </w:rPr>
        <w:t>Converts the April 5 Response's unsworn independent-development and compliance representations into verifiable practice, and identifies the records that would corroborate them. The Complaint's assertion at para. 119 that the similarities cannot be explained by independent creation is testable only against contemporaneous development records, so locating those records — and establishing now whether any have been lost — is essential before the representation is repeated in a filing or a deposition.</w:t>
      </w:r>
    </w:p>
    <w:p>
      <w:pPr>
        <w:spacing w:before="120" w:after="40"/>
        <w:ind w:left="259"/>
      </w:pPr>
      <w:r>
        <w:rPr>
          <w:rFonts w:ascii="Calibri" w:hAnsi="Calibri"/>
          <w:b/>
          <w:i w:val="0"/>
          <w:sz w:val="20"/>
        </w:rPr>
        <w:t>Q-A20.  Were any portions of the PathForge platform, or any predecessor prototype, written by anyone outside Meridian — contractors, consultants, academic collaborators, or a predecessor entity — and if so, who and under what terms?</w:t>
      </w:r>
    </w:p>
    <w:p>
      <w:pPr>
        <w:spacing w:after="40"/>
        <w:ind w:left="518"/>
        <w:jc w:val="both"/>
      </w:pPr>
      <w:r>
        <w:rPr>
          <w:rFonts w:ascii="Calibri" w:hAnsi="Calibri"/>
          <w:b/>
          <w:i/>
          <w:sz w:val="18"/>
        </w:rPr>
        <w:t xml:space="preserve">Source: </w:t>
      </w:r>
      <w:r>
        <w:rPr>
          <w:rFonts w:ascii="Calibri" w:hAnsi="Calibri"/>
          <w:i/>
          <w:sz w:val="18"/>
        </w:rPr>
        <w:t>holt-eciaa-agreement.docx, Section 2.1(iv) (Confidential Information excludes information disclosed to Employee by a third party not under a confidentiality obligation to the Company); pathforge-whitepaper-excerpt.docx, Section 2 (describing DroneNav and academic literature as influences on the design) and Section 7.2 (describing review of published academic literature during prototyping); meridian-cd-response.docx para. 11 (asserting independent development by Meridian's engineering teams).</w:t>
      </w:r>
    </w:p>
    <w:p>
      <w:pPr>
        <w:spacing w:after="100"/>
        <w:ind w:left="518"/>
        <w:jc w:val="both"/>
      </w:pPr>
      <w:r>
        <w:rPr>
          <w:rFonts w:ascii="Calibri" w:hAnsi="Calibri"/>
          <w:b/>
          <w:i/>
          <w:sz w:val="18"/>
        </w:rPr>
        <w:t xml:space="preserve">Evidentiary purpose: </w:t>
      </w:r>
      <w:r>
        <w:rPr>
          <w:rFonts w:ascii="Calibri" w:hAnsi="Calibri"/>
          <w:i/>
          <w:sz w:val="18"/>
        </w:rPr>
        <w:t>Identifies any third-party contribution to PathForge, which is a distinct and independent development story and a potential source of additional prior-art or ownership facts. It also protects against the risk that the "developed independently by the Meridian engineering team" representation is inaccurate in a respect Meridian has not yet checked, and it identifies the individuals whose records and agreements should be collected.</w:t>
      </w:r>
    </w:p>
    <w:p>
      <w:pPr>
        <w:spacing w:before="120" w:after="40"/>
        <w:ind w:left="259"/>
      </w:pPr>
      <w:r>
        <w:rPr>
          <w:rFonts w:ascii="Calibri" w:hAnsi="Calibri"/>
          <w:b/>
          <w:i w:val="0"/>
          <w:sz w:val="20"/>
        </w:rPr>
        <w:t>Q-A21.  Exhibit F records six bulk exports from SkyVault's Confluence workspace in the week before your last day, including 84 files from the /SkyVault/Business/CustomerData/ space. Describe what you understood those files to be, what you intended to do with them, and whether any SkyVault-origin file has ever been present on any Meridian system, device or account.</w:t>
      </w:r>
    </w:p>
    <w:p>
      <w:pPr>
        <w:spacing w:after="40"/>
        <w:ind w:left="518"/>
        <w:jc w:val="both"/>
      </w:pPr>
      <w:r>
        <w:rPr>
          <w:rFonts w:ascii="Calibri" w:hAnsi="Calibri"/>
          <w:b/>
          <w:i/>
          <w:sz w:val="18"/>
        </w:rPr>
        <w:t xml:space="preserve">Source: </w:t>
      </w:r>
      <w:r>
        <w:rPr>
          <w:rFonts w:ascii="Calibri" w:hAnsi="Calibri"/>
          <w:i/>
          <w:sz w:val="18"/>
        </w:rPr>
        <w:t>exhibit-f-forensic-log.xlsx, Rows #27-#32 (six BULK_EXPORT events, 02/02/2018 through 02/08/2018, including Row #32 on 02/08/2018 at 22:44:06 UTC / 04:44:06 PM CT, 84 files, 467.2 MB, from /SkyVault/Business/CustomerData/ to Local Disk C:\Users\mholt\Downloads\export_020818b, flagged "User exported files from Business/CustomerData space — outside normal Engineering scope"), Row #17 (FILE_VIEW of customer_contracts_summary_2017.xlsx on 01/24/2018, flagged "User accessed Business/CustomerData space — outside normal Engineering scope"), and Row #34 (the 02/09/2018 BULK_COPY_TO_REMOVABLE spanning /SkyVault/Engineering/ and /SkyVault/Business/CustomerData/); skyvault-complaint.docx para. 49 (alleging on information and belief that the download included all five trade secret categories including customer lists and pricing strategies) and para. 94 (same, in the DTSA count).</w:t>
      </w:r>
    </w:p>
    <w:p>
      <w:pPr>
        <w:spacing w:after="100"/>
        <w:ind w:left="518"/>
        <w:jc w:val="both"/>
      </w:pPr>
      <w:r>
        <w:rPr>
          <w:rFonts w:ascii="Calibri" w:hAnsi="Calibri"/>
          <w:b/>
          <w:i/>
          <w:sz w:val="18"/>
        </w:rPr>
        <w:t xml:space="preserve">Evidentiary purpose: </w:t>
      </w:r>
      <w:r>
        <w:rPr>
          <w:rFonts w:ascii="Calibri" w:hAnsi="Calibri"/>
          <w:i/>
          <w:sz w:val="18"/>
        </w:rPr>
        <w:t>Confronts the most damaging documentary fact in the furnished record directly and early, on the witness's own terms, rather than leaving it to be raised at a deposition. The distinction the interview must develop is between files that were viewed or exported and files that were used or retained; Exhibit F proves the former and is silent on the latter. The customer-data exports are also the factual basis for the TS-3 category, so the answer determines whether that category is genuinely in the case or is unsupported.</w:t>
      </w:r>
    </w:p>
    <w:p>
      <w:pPr>
        <w:keepNext/>
        <w:spacing w:before="220" w:after="80"/>
      </w:pPr>
      <w:r>
        <w:rPr>
          <w:rFonts w:ascii="Calibri" w:hAnsi="Calibri"/>
          <w:b/>
          <w:color w:val="1F3E6B"/>
          <w:sz w:val="21"/>
        </w:rPr>
        <w:t>A.4 — LEAD FAMILY 4: THE WHITE PAPER'S TITLE AND AUTHORSHIP INFORMATION</w:t>
      </w:r>
    </w:p>
    <w:p>
      <w:pPr>
        <w:spacing w:before="120" w:after="40"/>
        <w:ind w:left="259"/>
      </w:pPr>
      <w:r>
        <w:rPr>
          <w:rFonts w:ascii="Calibri" w:hAnsi="Calibri"/>
          <w:b/>
          <w:i w:val="0"/>
          <w:sz w:val="20"/>
        </w:rPr>
        <w:t>Q-A22.  Turning to the July 2022 PathForge white paper: tell me how that document came to be written, who decided to write it, who drafted which sections, and what role you played.</w:t>
      </w:r>
    </w:p>
    <w:p>
      <w:pPr>
        <w:spacing w:after="40"/>
        <w:ind w:left="518"/>
        <w:jc w:val="both"/>
      </w:pPr>
      <w:r>
        <w:rPr>
          <w:rFonts w:ascii="Calibri" w:hAnsi="Calibri"/>
          <w:b/>
          <w:i/>
          <w:sz w:val="18"/>
        </w:rPr>
        <w:t xml:space="preserve">Source: </w:t>
      </w:r>
      <w:r>
        <w:rPr>
          <w:rFonts w:ascii="Calibri" w:hAnsi="Calibri"/>
          <w:i/>
          <w:sz w:val="18"/>
        </w:rPr>
        <w:t>pathforge-whitepaper-excerpt.docx, cover page (title "PathForge: Next-Generation Autonomous Navigation," dated July 2022, attributed to "Dr. Marcus Holt, CTO and Co-Founder" and "PathForge Engineering Team," Meridian Dynamics, Inc., 900 Lakeshore Drive, Floor 12, Austin, TX 78701); skyvault-complaint.docx para. 57 (alleging the white paper was published in or about July 2022 and "authored by Dr. Marcus Holt and the Meridian engineering team") and para. 58 (alleging the white paper describes PathForge's technical architecture in detail).</w:t>
      </w:r>
    </w:p>
    <w:p>
      <w:pPr>
        <w:spacing w:after="100"/>
        <w:ind w:left="518"/>
        <w:jc w:val="both"/>
      </w:pPr>
      <w:r>
        <w:rPr>
          <w:rFonts w:ascii="Calibri" w:hAnsi="Calibri"/>
          <w:b/>
          <w:i/>
          <w:sz w:val="18"/>
        </w:rPr>
        <w:t xml:space="preserve">Evidentiary purpose: </w:t>
      </w:r>
      <w:r>
        <w:rPr>
          <w:rFonts w:ascii="Calibri" w:hAnsi="Calibri"/>
          <w:i/>
          <w:sz w:val="18"/>
        </w:rPr>
        <w:t>Establishes the authorship and genesis of the document that SkyVault says triggered its discovery of the alleged misappropriation (Complaint paras. 97 and 109: "SkyVault first discovered the misappropriation of its trade secrets upon reviewing Meridian's PathForge white paper published in or about July 2022"). Authorship matters twice over: it determines whose statements the document contains, and it frames the limitations-period and notice chronology that SkyVault itself has pleaded. The answer also identifies the internal drafting and review records, which are the best evidence of the document's intended character.</w:t>
      </w:r>
    </w:p>
    <w:p>
      <w:pPr>
        <w:spacing w:before="120" w:after="40"/>
        <w:ind w:left="259"/>
      </w:pPr>
      <w:r>
        <w:rPr>
          <w:rFonts w:ascii="Calibri" w:hAnsi="Calibri"/>
          <w:b/>
          <w:i w:val="0"/>
          <w:sz w:val="20"/>
        </w:rPr>
        <w:t>Q-A23.  Exhibit F and the Complaint both put weight on the Confluence content Holt could reach. The white paper is a public document. What was the intended audience for the white paper, and was any part of it reviewed or cleared before release?</w:t>
      </w:r>
    </w:p>
    <w:p>
      <w:pPr>
        <w:spacing w:after="40"/>
        <w:ind w:left="518"/>
        <w:jc w:val="both"/>
      </w:pPr>
      <w:r>
        <w:rPr>
          <w:rFonts w:ascii="Calibri" w:hAnsi="Calibri"/>
          <w:b/>
          <w:i/>
          <w:sz w:val="18"/>
        </w:rPr>
        <w:t xml:space="preserve">Source: </w:t>
      </w:r>
      <w:r>
        <w:rPr>
          <w:rFonts w:ascii="Calibri" w:hAnsi="Calibri"/>
          <w:i/>
          <w:sz w:val="18"/>
        </w:rPr>
        <w:t>pathforge-whitepaper-excerpt.docx, cover page ("Document Classification: Public Release / Marketing Technical Paper") and the notice at the end of the document ("© 2022 Meridian Dynamics, Inc. All rights reserved. This white paper is provided for informational purposes. The technical descriptions herein represent PathForge capabilities as of the date of publication (July 2022) and are subject to change. PathForge White Paper v1.0 — July 2022"); skyvault-complaint.docx paras. 58 and 77 (relying on the white paper as describing PathForge's architecture and its GPS-denied navigation module in terms corresponding to the asserted patents).</w:t>
      </w:r>
    </w:p>
    <w:p>
      <w:pPr>
        <w:spacing w:after="100"/>
        <w:ind w:left="518"/>
        <w:jc w:val="both"/>
      </w:pPr>
      <w:r>
        <w:rPr>
          <w:rFonts w:ascii="Calibri" w:hAnsi="Calibri"/>
          <w:b/>
          <w:i/>
          <w:sz w:val="18"/>
        </w:rPr>
        <w:t xml:space="preserve">Evidentiary purpose: </w:t>
      </w:r>
      <w:r>
        <w:rPr>
          <w:rFonts w:ascii="Calibri" w:hAnsi="Calibri"/>
          <w:i/>
          <w:sz w:val="18"/>
        </w:rPr>
        <w:t>Establishes the document's purpose and audience so that its weight can be accurately assessed. Because the Complaint relies on the white paper as its principal technical evidence (paras. 58, 77, 85), the defense needs a clear record that the document is a marketing characterization of capability, not a design specification, and that its statements are qualified on their face. The internal review record will show who approved the technical claims and on what basis.</w:t>
      </w:r>
    </w:p>
    <w:p>
      <w:pPr>
        <w:spacing w:before="120" w:after="40"/>
        <w:ind w:left="259"/>
      </w:pPr>
      <w:r>
        <w:rPr>
          <w:rFonts w:ascii="Calibri" w:hAnsi="Calibri"/>
          <w:b/>
          <w:i w:val="0"/>
          <w:sz w:val="20"/>
        </w:rPr>
        <w:t>Q-A24.  Section 7.2 of the white paper states that "All PathForge technology was developed independently by the Meridian engineering team." When that sentence was drafted, what was it based on — what records, reviews or verification? And separately, Section 2 says you "led the PathForge architecture design" drawing on a "thorough review of the published literature." Describe that literature review: what you read, when, and how it was recorded.</w:t>
      </w:r>
    </w:p>
    <w:p>
      <w:pPr>
        <w:spacing w:after="40"/>
        <w:ind w:left="518"/>
        <w:jc w:val="both"/>
      </w:pPr>
      <w:r>
        <w:rPr>
          <w:rFonts w:ascii="Calibri" w:hAnsi="Calibri"/>
          <w:b/>
          <w:i/>
          <w:sz w:val="18"/>
        </w:rPr>
        <w:t xml:space="preserve">Source: </w:t>
      </w:r>
      <w:r>
        <w:rPr>
          <w:rFonts w:ascii="Calibri" w:hAnsi="Calibri"/>
          <w:i/>
          <w:sz w:val="18"/>
        </w:rPr>
        <w:t>pathforge-whitepaper-excerpt.docx, Section 7.2 final paragraph ("All PathForge technology was developed independently by the Meridian engineering team. The platform builds upon publicly available academic research and open-source implementations that are widely known in the autonomous systems community.") and Section 2 ("Dr. Marcus Holt, who holds a PhD in Robotics from Georgia Institute of Technology (2015), led the PathForge architecture design, drawing on his extensive academic background in autonomous systems and a thorough review of the published literature").</w:t>
      </w:r>
    </w:p>
    <w:p>
      <w:pPr>
        <w:spacing w:after="100"/>
        <w:ind w:left="518"/>
        <w:jc w:val="both"/>
      </w:pPr>
      <w:r>
        <w:rPr>
          <w:rFonts w:ascii="Calibri" w:hAnsi="Calibri"/>
          <w:b/>
          <w:i/>
          <w:sz w:val="18"/>
        </w:rPr>
        <w:t xml:space="preserve">Evidentiary purpose: </w:t>
      </w:r>
      <w:r>
        <w:rPr>
          <w:rFonts w:ascii="Calibri" w:hAnsi="Calibri"/>
          <w:i/>
          <w:sz w:val="18"/>
        </w:rPr>
        <w:t>Tests the foundation of the independent-development representation before it is repeated in a sworn filing. A representation made in a 2022 marketing paper and repeated in an April 2024 litigation letter carries different risk if it was never grounded in a documented review. This question is also a document-collection prompt for any literature review memoranda, reading lists, citation records or design documents from 2018-2019.</w:t>
      </w:r>
    </w:p>
    <w:p>
      <w:pPr>
        <w:spacing w:before="120" w:after="40"/>
        <w:ind w:left="259"/>
      </w:pPr>
      <w:r>
        <w:rPr>
          <w:rFonts w:ascii="Calibri" w:hAnsi="Calibri"/>
          <w:b/>
          <w:i w:val="0"/>
          <w:sz w:val="20"/>
        </w:rPr>
        <w:t>Q-A25.  The white paper attributes specific technical approaches to third parties — Vasquez (2016), Nakamura and Okonkwo (2015), and the DroneNav project (2017). For each, tell me whether you personally read the work, when, and whether any of its code, formulas or design choices were used in PathForge.</w:t>
      </w:r>
    </w:p>
    <w:p>
      <w:pPr>
        <w:spacing w:after="40"/>
        <w:ind w:left="518"/>
        <w:jc w:val="both"/>
      </w:pPr>
      <w:r>
        <w:rPr>
          <w:rFonts w:ascii="Calibri" w:hAnsi="Calibri"/>
          <w:b/>
          <w:i/>
          <w:sz w:val="18"/>
        </w:rPr>
        <w:t xml:space="preserve">Source: </w:t>
      </w:r>
      <w:r>
        <w:rPr>
          <w:rFonts w:ascii="Calibri" w:hAnsi="Calibri"/>
          <w:i/>
          <w:sz w:val="18"/>
        </w:rPr>
        <w:t>pathforge-whitepaper-excerpt.docx, Section 2 (describing Vasquez, "Multi-Sensor Fusion for Autonomous UAV Navigation," IEEE Transactions on Robotics, Vol. 32, No. 5, October 2016, as "a foundational contribution" establishing LiDAR/stereo/IMU fusion through an extended Kalman filter framework, and DroneNav as validating sliding-window optimization and keyframe-based map management); Section 3.3 (comparing PathForge's 38 ms and 8 cm results to Vasquez's 47 ms and 15 cm, and describing PathForge's approach as "a commercially optimized implementation of that foundational methodology"); Section 3.1 ("follows the general approach established by Vasquez (2016)"); Section 4.2 and 4.3 (DroneNav as the demonstrated basis for sliding-window VIO); Section 5.2 (Ferreira et al., 2016 for consensus algorithms); and the References list (four items, including the DroneNav GitHub repository at https://github.com/dronenav/dronenav, first committed August 15, 2017).</w:t>
      </w:r>
    </w:p>
    <w:p>
      <w:pPr>
        <w:spacing w:after="100"/>
        <w:ind w:left="518"/>
        <w:jc w:val="both"/>
      </w:pPr>
      <w:r>
        <w:rPr>
          <w:rFonts w:ascii="Calibri" w:hAnsi="Calibri"/>
          <w:b/>
          <w:i/>
          <w:sz w:val="18"/>
        </w:rPr>
        <w:t xml:space="preserve">Evidentiary purpose: </w:t>
      </w:r>
      <w:r>
        <w:rPr>
          <w:rFonts w:ascii="Calibri" w:hAnsi="Calibri"/>
          <w:i/>
          <w:sz w:val="18"/>
        </w:rPr>
        <w:t>Pins the independent-development narrative to named, publicly verifiable sources and distinguishes between the different relationships a witness can have to a public source. The white paper's own citations are the best evidence that PathForge's design was grounded in public literature rather than in SkyVault material, but only if the witness can describe the actual use of each source — read, cited, evaluated, cloned, imported as a dependency, modified, or not used at all. This question should be asked separately for each of Vasquez (2016), Nakamura and Okonkwo (2015), DroneNav (2017) and Ferreira et al. (2016), and the answers should be documented individually.</w:t>
      </w:r>
    </w:p>
    <w:p>
      <w:pPr>
        <w:keepNext/>
        <w:spacing w:before="220" w:after="80"/>
      </w:pPr>
      <w:r>
        <w:rPr>
          <w:rFonts w:ascii="Calibri" w:hAnsi="Calibri"/>
          <w:b/>
          <w:color w:val="1F3E6B"/>
          <w:sz w:val="21"/>
        </w:rPr>
        <w:t>A.5 — LEAD FAMILY 5: DRONENAV AND OTHER PUBLIC SOURCES</w:t>
      </w:r>
    </w:p>
    <w:p>
      <w:pPr>
        <w:spacing w:before="120" w:after="40"/>
        <w:ind w:left="259"/>
      </w:pPr>
      <w:r>
        <w:rPr>
          <w:rFonts w:ascii="Calibri" w:hAnsi="Calibri"/>
          <w:b/>
          <w:i w:val="0"/>
          <w:sz w:val="20"/>
        </w:rPr>
        <w:t>Q-A26.  Focusing on DroneNav: tell me what you know about that project, when you first became aware of it, whether you or anyone at Meridian ever cloned, downloaded, forked or imported its code, and whether any DroneNav code is present in PathForge today.</w:t>
      </w:r>
    </w:p>
    <w:p>
      <w:pPr>
        <w:spacing w:after="40"/>
        <w:ind w:left="518"/>
        <w:jc w:val="both"/>
      </w:pPr>
      <w:r>
        <w:rPr>
          <w:rFonts w:ascii="Calibri" w:hAnsi="Calibri"/>
          <w:b/>
          <w:i/>
          <w:sz w:val="18"/>
        </w:rPr>
        <w:t xml:space="preserve">Source: </w:t>
      </w:r>
      <w:r>
        <w:rPr>
          <w:rFonts w:ascii="Calibri" w:hAnsi="Calibri"/>
          <w:i/>
          <w:sz w:val="18"/>
        </w:rPr>
        <w:t>pathforge-whitepaper-excerpt.docx, Section 2 (DroneNav project, GitHub, first committed August 15, 2017, described as "an early open-source implementation of visual-inertial odometry for GPS-denied drone flight" whose "publicly available codebase provided a valuable reference point"), Section 4.1 ("significant prior work including the DroneNav open-source project (2017)"), Section 4.2 ("Open-source implementations such as the DroneNav project (2017) have demonstrated the viability of sliding-window VIO for GPS-denied UAV flight. DroneNav's publicly available codebase implemented the core pipeline of feature tracking, sliding-window optimization, keyframe management, and IMU pre-integration for monocular camera configurations"), Section 7.2 timeline (design informed by "publicly available implementations including the DroneNav open-source project (2017)"), and the References list item 2 (URL https://github.com/dronenav/dronenav).</w:t>
      </w:r>
    </w:p>
    <w:p>
      <w:pPr>
        <w:spacing w:after="100"/>
        <w:ind w:left="518"/>
        <w:jc w:val="both"/>
      </w:pPr>
      <w:r>
        <w:rPr>
          <w:rFonts w:ascii="Calibri" w:hAnsi="Calibri"/>
          <w:b/>
          <w:i/>
          <w:sz w:val="18"/>
        </w:rPr>
        <w:t xml:space="preserve">Evidentiary purpose: </w:t>
      </w:r>
      <w:r>
        <w:rPr>
          <w:rFonts w:ascii="Calibri" w:hAnsi="Calibri"/>
          <w:i/>
          <w:sz w:val="18"/>
        </w:rPr>
        <w:t>This question separates the distinct relationships a witness can have to a public codebase — awareness, citation, evaluation, cloning, dependency inclusion, modification, use, and non-use — because the legal significance of each is different and the white paper's language ("reference point," "informed by") is deliberately imprecise. Note the timing fact that must be tested: DroneNav's first commit is dated August 15, 2017, which is during Holt's SkyVault employment, so the interview should establish whether he encountered it at SkyVault or only later at Meridian. The answer determines whether the GPS-denied module has an independent open-source lineage that can be demonstrated by commit history and license records.</w:t>
      </w:r>
    </w:p>
    <w:p>
      <w:pPr>
        <w:spacing w:before="120" w:after="40"/>
        <w:ind w:left="259"/>
      </w:pPr>
      <w:r>
        <w:rPr>
          <w:rFonts w:ascii="Calibri" w:hAnsi="Calibri"/>
          <w:b/>
          <w:i w:val="0"/>
          <w:sz w:val="20"/>
        </w:rPr>
        <w:t>Q-A27.  Beyond DroneNav, describe every other public source — open-source project, published paper, standard, vendor SDK or public dataset — that contributed to PathForge, and identify the license and the specific contribution of each.</w:t>
      </w:r>
    </w:p>
    <w:p>
      <w:pPr>
        <w:spacing w:after="40"/>
        <w:ind w:left="518"/>
        <w:jc w:val="both"/>
      </w:pPr>
      <w:r>
        <w:rPr>
          <w:rFonts w:ascii="Calibri" w:hAnsi="Calibri"/>
          <w:b/>
          <w:i/>
          <w:sz w:val="18"/>
        </w:rPr>
        <w:t xml:space="preserve">Source: </w:t>
      </w:r>
      <w:r>
        <w:rPr>
          <w:rFonts w:ascii="Calibri" w:hAnsi="Calibri"/>
          <w:i/>
          <w:sz w:val="18"/>
        </w:rPr>
        <w:t>pathforge-whitepaper-excerpt.docx, References list (Vasquez 2016; DroneNav 2017; Nakamura and Okonkwo 2015; Ferreira, dos Santos and Patel, "Consensus Algorithms for Decentralized Multi-Robot Coordination," ICRA 2016, pp. 4421-4428); Section 2 ("the state of the art ... was characterized by a rich body of academic research and early open-source implementations"); Section 3.3 (attributing PathForge's performance gains to "engineering investment in commercial-grade sensor calibration, noise modeling, and processing pipeline optimization"); Section 5.4 (attributing sub-linear scaling to the mesh topology architectural choice); holt-eciaa-agreement.docx, Section 3.4 (right to use publicly available information and general industry knowledge) and Section 2.1(i) (Confidential Information excludes information that is or becomes publicly available through no fault or breach by Employee).</w:t>
      </w:r>
    </w:p>
    <w:p>
      <w:pPr>
        <w:spacing w:after="100"/>
        <w:ind w:left="518"/>
        <w:jc w:val="both"/>
      </w:pPr>
      <w:r>
        <w:rPr>
          <w:rFonts w:ascii="Calibri" w:hAnsi="Calibri"/>
          <w:b/>
          <w:i/>
          <w:sz w:val="18"/>
        </w:rPr>
        <w:t xml:space="preserve">Evidentiary purpose: </w:t>
      </w:r>
      <w:r>
        <w:rPr>
          <w:rFonts w:ascii="Calibri" w:hAnsi="Calibri"/>
          <w:i/>
          <w:sz w:val="18"/>
        </w:rPr>
        <w:t>Builds the affirmative provenance record for each PathForge module from public sources, which is the factual core of both the independent-development defense and the ECIAA Section 2.1(i) and 3.4 carve-outs. The white paper names only four references across a 42-page technical document, so the interview should test whether that list is exhaustive or illustrative; a complete inventory with licenses will also be needed for any open-source compliance analysis.</w:t>
      </w:r>
    </w:p>
    <w:p>
      <w:pPr>
        <w:spacing w:before="120" w:after="40"/>
        <w:ind w:left="259"/>
      </w:pPr>
      <w:r>
        <w:rPr>
          <w:rFonts w:ascii="Calibri" w:hAnsi="Calibri"/>
          <w:b/>
          <w:i w:val="0"/>
          <w:sz w:val="20"/>
        </w:rPr>
        <w:t>Q-A28.  For each module, describe the modifications Meridian made to the public approaches it adopted — what was changed, why, and who did the work — and identify the records that document those changes.</w:t>
      </w:r>
    </w:p>
    <w:p>
      <w:pPr>
        <w:spacing w:after="40"/>
        <w:ind w:left="518"/>
        <w:jc w:val="both"/>
      </w:pPr>
      <w:r>
        <w:rPr>
          <w:rFonts w:ascii="Calibri" w:hAnsi="Calibri"/>
          <w:b/>
          <w:i/>
          <w:sz w:val="18"/>
        </w:rPr>
        <w:t xml:space="preserve">Source: </w:t>
      </w:r>
      <w:r>
        <w:rPr>
          <w:rFonts w:ascii="Calibri" w:hAnsi="Calibri"/>
          <w:i/>
          <w:sz w:val="18"/>
        </w:rPr>
        <w:t>pathforge-whitepaper-excerpt.docx, Section 4.2 final paragraph (identifying three specific engineering improvements to the VIO pipeline: multi-scale feature tracking for low-texture environments, adaptive keyframe selection based on information gain, and tightly-coupled LiDAR-VIO fusion as a fallback mode) and Section 4.3 (extending VIO-based navigation "by integrating mission-level planning with real-time localization uncertainty"); Section 3.3 (19% latency improvement and 47% accuracy improvement over the Vasquez baseline, attributed to calibration, noise modeling and pipeline optimization); Section 1 final paragraph ("The platform's value lies in its unique integration, optimization, and commercial-grade implementation of these techniques").</w:t>
      </w:r>
    </w:p>
    <w:p>
      <w:pPr>
        <w:spacing w:after="100"/>
        <w:ind w:left="518"/>
        <w:jc w:val="both"/>
      </w:pPr>
      <w:r>
        <w:rPr>
          <w:rFonts w:ascii="Calibri" w:hAnsi="Calibri"/>
          <w:b/>
          <w:i/>
          <w:sz w:val="18"/>
        </w:rPr>
        <w:t xml:space="preserve">Evidentiary purpose: </w:t>
      </w:r>
      <w:r>
        <w:rPr>
          <w:rFonts w:ascii="Calibri" w:hAnsi="Calibri"/>
          <w:i/>
          <w:sz w:val="18"/>
        </w:rPr>
        <w:t>Establishes the specific incremental contributions that Meridian claims as its own, which is what distinguishes an independently developed platform from a copy of a public one and from a derivative of SkyVault code. The white paper already identifies three concrete VIO improvements and one planning extension; the interview should test whether those were actually implemented, when, by whom, and whether the corresponding design documents, pull requests and test results exist. This is the evidence that answers the Complaint's assertion at para. 119 that the asserted similarities "cannot be explained by independent creation."</w:t>
      </w:r>
    </w:p>
    <w:p>
      <w:pPr>
        <w:keepNext/>
        <w:spacing w:before="220" w:after="80"/>
      </w:pPr>
      <w:r>
        <w:rPr>
          <w:rFonts w:ascii="Calibri" w:hAnsi="Calibri"/>
          <w:b/>
          <w:color w:val="1F3E6B"/>
          <w:sz w:val="21"/>
        </w:rPr>
        <w:t>A.6 — LEAD FAMILY 6: THE PRE-SUIT CORRESPONDENCE CHAIN</w:t>
      </w:r>
    </w:p>
    <w:p>
      <w:pPr>
        <w:spacing w:before="120" w:after="40"/>
        <w:ind w:left="259"/>
      </w:pPr>
      <w:r>
        <w:rPr>
          <w:rFonts w:ascii="Calibri" w:hAnsi="Calibri"/>
          <w:b/>
          <w:i w:val="0"/>
          <w:sz w:val="20"/>
        </w:rPr>
        <w:t>Q-A29.  Tell me what you recall about the March 2024 correspondence from SkyVault's counsel — when you first learned of it, what you were told about it, and what you did in response.</w:t>
      </w:r>
    </w:p>
    <w:p>
      <w:pPr>
        <w:spacing w:after="40"/>
        <w:ind w:left="518"/>
        <w:jc w:val="both"/>
      </w:pPr>
      <w:r>
        <w:rPr>
          <w:rFonts w:ascii="Calibri" w:hAnsi="Calibri"/>
          <w:b/>
          <w:i/>
          <w:sz w:val="18"/>
        </w:rPr>
        <w:t xml:space="preserve">Source: </w:t>
      </w:r>
      <w:r>
        <w:rPr>
          <w:rFonts w:ascii="Calibri" w:hAnsi="Calibri"/>
          <w:i/>
          <w:sz w:val="18"/>
        </w:rPr>
        <w:t>skyvault-complaint.docx para. 61 (alleging that on March 12, 2024 SkyVault through Callister, Voss &amp; Greenbaum LLP sent a cease-and-desist letter addressed to Priya Chandrasekaran, CEO, at Meridian's Austin headquarters, identifying the '561, '227 and '889 Patents and SkyVault's trade secret and copyright claims, and demanding cessation, $15 million in licensing fees, and a full forensic audit of Meridian's source code repositories); meridian-cd-response.docx, first paragraph (acknowledging receipt of "your March 12, 2024 letter sent on behalf of SkyVault Technologies LLC" and stating the letter is written "on behalf of Meridian and its officers and directors"); meridian-cd-response.docx, addressee line (letter addressed to Theresa N. Voss, Callister, Voss &amp; Greenbaum LLP) and cc line (Jordan Kessler, VP of Legal, Meridian Dynamics, Inc., via email).</w:t>
      </w:r>
    </w:p>
    <w:p>
      <w:pPr>
        <w:spacing w:after="100"/>
        <w:ind w:left="518"/>
        <w:jc w:val="both"/>
      </w:pPr>
      <w:r>
        <w:rPr>
          <w:rFonts w:ascii="Calibri" w:hAnsi="Calibri"/>
          <w:b/>
          <w:i/>
          <w:sz w:val="18"/>
        </w:rPr>
        <w:t xml:space="preserve">Evidentiary purpose: </w:t>
      </w:r>
      <w:r>
        <w:rPr>
          <w:rFonts w:ascii="Calibri" w:hAnsi="Calibri"/>
          <w:i/>
          <w:sz w:val="18"/>
        </w:rPr>
        <w:t>Establishes the discoverable chronology of notice, which is the predicate for the willful-infringement allegations at Complaint paras. 63, 69-70, 78 and 86, and for the trade secret and copyright willfulness allegations. Note the limits of the furnished record: the March 12, 2024 letter itself was not provided, so nothing beyond what Complaint para. 61 and the April 5 Response record may be attributed to it, and the interview should ask the witness to identify and produce Meridian's copy of the letter rather than assume its contents. The question also identifies who at Meridian received, read and acted on the letter — a factual matter distinct from any privileged advice about it.</w:t>
      </w:r>
    </w:p>
    <w:p>
      <w:pPr>
        <w:spacing w:before="120" w:after="40"/>
        <w:ind w:left="259"/>
      </w:pPr>
      <w:r>
        <w:rPr>
          <w:rFonts w:ascii="Calibri" w:hAnsi="Calibri"/>
          <w:b/>
          <w:i w:val="0"/>
          <w:sz w:val="20"/>
        </w:rPr>
        <w:t>Q-A30.  After Meridian received the March 2024 letter, describe what happened operationally at the company — any instruction about documents, devices, repositories or communications; any change to how records were kept; and any direction about who could speak about the matter.</w:t>
      </w:r>
    </w:p>
    <w:p>
      <w:pPr>
        <w:spacing w:after="40"/>
        <w:ind w:left="518"/>
        <w:jc w:val="both"/>
      </w:pPr>
      <w:r>
        <w:rPr>
          <w:rFonts w:ascii="Calibri" w:hAnsi="Calibri"/>
          <w:b/>
          <w:i/>
          <w:sz w:val="18"/>
        </w:rPr>
        <w:t xml:space="preserve">Source: </w:t>
      </w:r>
      <w:r>
        <w:rPr>
          <w:rFonts w:ascii="Calibri" w:hAnsi="Calibri"/>
          <w:i/>
          <w:sz w:val="18"/>
        </w:rPr>
        <w:t>meridian-cd-response.docx paras. 10-16 (Meridian's denial of the patent, trade secret and copyright allegations; assertion of independent development; reservation of non-infringement, invalidity, unenforceability and independent-development defenses; and declination of all three demands, including the source code audit at para. 15) and para. 18 (request that SkyVault route future communications to Brackwell &amp; Haines and refrain from contacting Meridian's officers and employees directly); exhibit-f-forensic-log.xlsx, Rows #40, #41 and #45 (showing, in the analogous 2018 SkyVault sequence, an exit interview scheduled, a permissions audit initiated, and a forensic image requested "per counsel authorization" — a useful comparator for what a documented preservation response looks like).</w:t>
      </w:r>
    </w:p>
    <w:p>
      <w:pPr>
        <w:spacing w:after="100"/>
        <w:ind w:left="518"/>
        <w:jc w:val="both"/>
      </w:pPr>
      <w:r>
        <w:rPr>
          <w:rFonts w:ascii="Calibri" w:hAnsi="Calibri"/>
          <w:b/>
          <w:i/>
          <w:sz w:val="18"/>
        </w:rPr>
        <w:t xml:space="preserve">Evidentiary purpose: </w:t>
      </w:r>
      <w:r>
        <w:rPr>
          <w:rFonts w:ascii="Calibri" w:hAnsi="Calibri"/>
          <w:i/>
          <w:sz w:val="18"/>
        </w:rPr>
        <w:t>This question is deliberately framed to elicit discoverable operational facts — instructions, retention changes, preservation steps — and not privileged advice. The scope and adequacy of Meridian's preservation response is a facts-and-conduct issue that will be litigated independently of the merits, and it is better to establish the record now than to reconstruct it later. The 2018 SkyVault entries in Exhibit F are included as a comparator precisely because they show what a contemporaneous, documented hold response looks like on the other side.</w:t>
      </w:r>
    </w:p>
    <w:p>
      <w:pPr>
        <w:spacing w:before="120" w:after="40"/>
        <w:ind w:left="259"/>
      </w:pPr>
      <w:r>
        <w:rPr>
          <w:rFonts w:ascii="Calibri" w:hAnsi="Calibri"/>
          <w:b/>
          <w:i w:val="0"/>
          <w:sz w:val="20"/>
        </w:rPr>
        <w:t>Q-A31.  The April 5, 2024 response states that Meridian "maintains robust internal compliance processes designed to safeguard against the unauthorized use of third-party intellectual property." From your vantage point as CTO, describe those processes as they existed in 2018-2019 when PathForge was being built, and tell me what has changed since.</w:t>
      </w:r>
    </w:p>
    <w:p>
      <w:pPr>
        <w:spacing w:after="40"/>
        <w:ind w:left="518"/>
        <w:jc w:val="both"/>
      </w:pPr>
      <w:r>
        <w:rPr>
          <w:rFonts w:ascii="Calibri" w:hAnsi="Calibri"/>
          <w:b/>
          <w:i/>
          <w:sz w:val="18"/>
        </w:rPr>
        <w:t xml:space="preserve">Source: </w:t>
      </w:r>
      <w:r>
        <w:rPr>
          <w:rFonts w:ascii="Calibri" w:hAnsi="Calibri"/>
          <w:i/>
          <w:sz w:val="18"/>
        </w:rPr>
        <w:t>meridian-cd-response.docx para. 11 ("Meridian independently developed its PathForge platform through the efforts of its engineering teams and respects the intellectual property rights of others. Meridian maintains robust internal compliance processes designed to safeguard against the unauthorized use of third-party intellectual property."); holt-eciaa-agreement.docx, Sections 4.2 (approval requirement for personal storage devices) and 5.1 (invention disclosure obligation), as an example of the kind of control the representation describes; pathforge-whitepaper-excerpt.docx, Section 7.1 (independent development, deployment and pricing of modules) and Section 7.2 final paragraph (independent development assertion).</w:t>
      </w:r>
    </w:p>
    <w:p>
      <w:pPr>
        <w:spacing w:after="100"/>
        <w:ind w:left="518"/>
        <w:jc w:val="both"/>
      </w:pPr>
      <w:r>
        <w:rPr>
          <w:rFonts w:ascii="Calibri" w:hAnsi="Calibri"/>
          <w:b/>
          <w:i/>
          <w:sz w:val="18"/>
        </w:rPr>
        <w:t xml:space="preserve">Evidentiary purpose: </w:t>
      </w:r>
      <w:r>
        <w:rPr>
          <w:rFonts w:ascii="Calibri" w:hAnsi="Calibri"/>
          <w:i/>
          <w:sz w:val="18"/>
        </w:rPr>
        <w:t>Tests an unsworn representation that Meridian may later need to defend, and does so while there is still time to correct or qualify it. The question distinguishes the compliance program as it existed when the accused development occurred from the program as it exists today, because a representation about present processes cannot be used to establish past conduct. The answer also identifies the documents — policies, training records, onboarding materials, license review procedures — that would substantiate the representation if it is accurate.</w:t>
      </w:r>
    </w:p>
    <w:p>
      <w:pPr>
        <w:spacing w:before="120" w:after="40"/>
        <w:ind w:left="259"/>
      </w:pPr>
      <w:r>
        <w:rPr>
          <w:rFonts w:ascii="Calibri" w:hAnsi="Calibri"/>
          <w:b/>
          <w:i w:val="0"/>
          <w:sz w:val="20"/>
        </w:rPr>
        <w:t>Q-A32.  What did you understand SkyVault to be asserting about the relationship between your SkyVault work and PathForge, and what do you say in response — specifically, what did you take, what did you use, and what did you not take or use?</w:t>
      </w:r>
    </w:p>
    <w:p>
      <w:pPr>
        <w:spacing w:after="40"/>
        <w:ind w:left="518"/>
        <w:jc w:val="both"/>
      </w:pPr>
      <w:r>
        <w:rPr>
          <w:rFonts w:ascii="Calibri" w:hAnsi="Calibri"/>
          <w:b/>
          <w:i/>
          <w:sz w:val="18"/>
        </w:rPr>
        <w:t xml:space="preserve">Source: </w:t>
      </w:r>
      <w:r>
        <w:rPr>
          <w:rFonts w:ascii="Calibri" w:hAnsi="Calibri"/>
          <w:i/>
          <w:sz w:val="18"/>
        </w:rPr>
        <w:t>skyvault-complaint.docx paras. 2, 54-55 and 119-120 (alleging on information and belief that Holt used SkyVault's proprietary technology and copyrighted firmware to build PathForge, that he disclosed trade secrets to Meridian engineers, and that he copied, modified or incorporated AeroCore source code); meridian-cd-response.docx para. 11 (denying the trade secret and copyright allegations "in their entirety" and asserting independent development); meridian-cd-response.docx para. 16 (reserving non-infringement, invalidity, unenforceability and independent-development defenses).</w:t>
      </w:r>
    </w:p>
    <w:p>
      <w:pPr>
        <w:spacing w:after="100"/>
        <w:ind w:left="518"/>
        <w:jc w:val="both"/>
      </w:pPr>
      <w:r>
        <w:rPr>
          <w:rFonts w:ascii="Calibri" w:hAnsi="Calibri"/>
          <w:b/>
          <w:i/>
          <w:sz w:val="18"/>
        </w:rPr>
        <w:t xml:space="preserve">Evidentiary purpose: </w:t>
      </w:r>
      <w:r>
        <w:rPr>
          <w:rFonts w:ascii="Calibri" w:hAnsi="Calibri"/>
          <w:i/>
          <w:sz w:val="18"/>
        </w:rPr>
        <w:t>Obtains the witness's own denial in his own words, in a privileged setting, before it is tested in a deposition, and forces the answer to be specific rather than categorical. The Complaint's central allegations against Holt are pleaded "on information and belief," so a concrete, itemized account of what he did and did not take or use is the most useful thing this interview can produce. Counsel should record the answer verbatim and should resist the temptation to help the witness characterize it.</w:t>
      </w:r>
    </w:p>
    <w:p>
      <w:pPr>
        <w:keepNext/>
        <w:spacing w:before="280" w:after="100"/>
      </w:pPr>
      <w:r>
        <w:rPr>
          <w:rFonts w:ascii="Calibri" w:hAnsi="Calibri"/>
          <w:b/>
          <w:color w:val="142A4C"/>
          <w:sz w:val="25"/>
        </w:rPr>
        <w:t>V. CATEGORY B — MERIDIAN TECHNICAL TEAM</w:t>
      </w:r>
    </w:p>
    <w:p>
      <w:pPr>
        <w:spacing w:after="120"/>
        <w:jc w:val="both"/>
      </w:pPr>
      <w:r>
        <w:rPr>
          <w:rFonts w:ascii="Calibri" w:hAnsi="Calibri"/>
          <w:b w:val="0"/>
          <w:i w:val="0"/>
          <w:sz w:val="20"/>
        </w:rPr>
        <w:t>Function in this round. The technical witnesses exist to supply what Dr. Holt cannot supply alone: a module-by-module, author-level account of how PathForge was actually built, given by the people who did the work rather than by the executive who directed it. Their testimony is the only route to the repository, build, dependency, test and release records that will either corroborate or contradict the independent-development position asserted in the July 2022 white paper and the April 5, 2024 response, and it is likewise the only route to identifying the PathForge source files that correspond to the three AeroCore files named in the Complaint. Because the Complaint's copyright theory rests on asserted similarity of structure, sequence and organization rather than on any identified PathForge file, these witnesses must be able to name their own files, authors and dates before any technical comparison is attempted.</w:t>
      </w:r>
    </w:p>
    <w:p>
      <w:pPr>
        <w:spacing w:after="120"/>
        <w:ind w:left="259"/>
        <w:jc w:val="both"/>
      </w:pPr>
      <w:r>
        <w:rPr>
          <w:rFonts w:ascii="Calibri" w:hAnsi="Calibri"/>
          <w:b/>
          <w:sz w:val="19"/>
        </w:rPr>
        <w:t xml:space="preserve">Conduct note. </w:t>
      </w:r>
      <w:r>
        <w:rPr>
          <w:rFonts w:ascii="Calibri" w:hAnsi="Calibri"/>
          <w:sz w:val="19"/>
        </w:rPr>
        <w:t>The interviews should be conducted engineer by engineer and module by module, not as a group, and the sequence below is designed so that each witness is asked first what they personally did, then what they observed others do, and only then what they understood about third-party or SkyVault-origin material. Counsel should confirm at the outset that each witness has been told the interview is privileged, that they should not speculate, and that an "I don't recall" or "I would need to check the repository" answer is more useful than a confident reconstruction.</w:t>
      </w:r>
    </w:p>
    <w:p>
      <w:pPr>
        <w:keepNext/>
        <w:spacing w:before="220" w:after="80"/>
      </w:pPr>
      <w:r>
        <w:rPr>
          <w:rFonts w:ascii="Calibri" w:hAnsi="Calibri"/>
          <w:b/>
          <w:color w:val="1F3E6B"/>
          <w:sz w:val="21"/>
        </w:rPr>
        <w:t>B.1 — LEAD FAMILY 3 (CONTINUED): PATHFORGE'S ACTUAL DEVELOPMENT STARTING POINT</w:t>
      </w:r>
    </w:p>
    <w:p>
      <w:pPr>
        <w:spacing w:before="120" w:after="40"/>
        <w:ind w:left="259"/>
      </w:pPr>
      <w:r>
        <w:rPr>
          <w:rFonts w:ascii="Calibri" w:hAnsi="Calibri"/>
          <w:b/>
          <w:i w:val="0"/>
          <w:sz w:val="20"/>
        </w:rPr>
        <w:t>Q-B1.  Describe when you joined Meridian, what you were hired to work on, and the first thing you were asked to build. If you can, give me the month and year you started on each component you have worked on.</w:t>
      </w:r>
    </w:p>
    <w:p>
      <w:pPr>
        <w:spacing w:after="40"/>
        <w:ind w:left="518"/>
        <w:jc w:val="both"/>
      </w:pPr>
      <w:r>
        <w:rPr>
          <w:rFonts w:ascii="Calibri" w:hAnsi="Calibri"/>
          <w:b/>
          <w:i/>
          <w:sz w:val="18"/>
        </w:rPr>
        <w:t xml:space="preserve">Source: </w:t>
      </w:r>
      <w:r>
        <w:rPr>
          <w:rFonts w:ascii="Calibri" w:hAnsi="Calibri"/>
          <w:i/>
          <w:sz w:val="18"/>
        </w:rPr>
        <w:t>pathforge-whitepaper-excerpt.docx, Section 7.2 timeline (April 2018 incorporation and start of PathForge development under Holt's technical leadership; Q3 2018-Q4 2019 fusion module; Q1 2019-Q3 2020 GPS-denied navigation module; Q2 2019-Q1 2021 swarm coordination protocol; September 2020 PathForge v1.0 launch; Q1 2021 swarm production deployment; Q3 2021 analytics dashboard release) and Section 1 (engineering team of approximately 45 working full-time on PathForge development and customer integration); skyvault-complaint.docx para. 12 (alleging approximately 112 Meridian employees) and para. 56 (alleging the September 2020 launch).</w:t>
      </w:r>
    </w:p>
    <w:p>
      <w:pPr>
        <w:spacing w:after="100"/>
        <w:ind w:left="518"/>
        <w:jc w:val="both"/>
      </w:pPr>
      <w:r>
        <w:rPr>
          <w:rFonts w:ascii="Calibri" w:hAnsi="Calibri"/>
          <w:b/>
          <w:i/>
          <w:sz w:val="18"/>
        </w:rPr>
        <w:t xml:space="preserve">Evidentiary purpose: </w:t>
      </w:r>
      <w:r>
        <w:rPr>
          <w:rFonts w:ascii="Calibri" w:hAnsi="Calibri"/>
          <w:i/>
          <w:sz w:val="18"/>
        </w:rPr>
        <w:t>Builds an independent, person-by-person chronology that can be checked against the white paper's published timeline and against repository metadata. Because the Complaint's misappropriation theory depends substantially on the asserted speed of PathForge development (paras. 54 and 140), a witness-level timeline is the most direct rebuttal available and does not depend on Holt's credibility.</w:t>
      </w:r>
    </w:p>
    <w:p>
      <w:pPr>
        <w:spacing w:before="120" w:after="40"/>
        <w:ind w:left="259"/>
      </w:pPr>
      <w:r>
        <w:rPr>
          <w:rFonts w:ascii="Calibri" w:hAnsi="Calibri"/>
          <w:b/>
          <w:i w:val="0"/>
          <w:sz w:val="20"/>
        </w:rPr>
        <w:t>Q-B2.  For the module you know best, walk me through the first working version: what it did, what it did not do, and what the immediate predecessor was. If it was derived from something that already existed, tell me what that something was.</w:t>
      </w:r>
    </w:p>
    <w:p>
      <w:pPr>
        <w:spacing w:after="40"/>
        <w:ind w:left="518"/>
        <w:jc w:val="both"/>
      </w:pPr>
      <w:r>
        <w:rPr>
          <w:rFonts w:ascii="Calibri" w:hAnsi="Calibri"/>
          <w:b/>
          <w:i/>
          <w:sz w:val="18"/>
        </w:rPr>
        <w:t xml:space="preserve">Source: </w:t>
      </w:r>
      <w:r>
        <w:rPr>
          <w:rFonts w:ascii="Calibri" w:hAnsi="Calibri"/>
          <w:i/>
          <w:sz w:val="18"/>
        </w:rPr>
        <w:t>pathforge-whitepaper-excerpt.docx, Section 7.1 (PathForge is "a modular platform consisting of multiple distinct technology components" that are "independently developed, independently deployable, and independently priced") and Section 5.1 (swarm module developed beginning in 2019 with first production deployment in early 2021); pathforge-whitepaper-excerpt.docx, Sections 3.1 (EKF framework), 4.2 (VIO pipeline components) and 5.2 (mesh networking, low-latency message protocol, heartbeat broadcasts, decentralized consensus) as the module descriptions to test against.</w:t>
      </w:r>
    </w:p>
    <w:p>
      <w:pPr>
        <w:spacing w:after="100"/>
        <w:ind w:left="518"/>
        <w:jc w:val="both"/>
      </w:pPr>
      <w:r>
        <w:rPr>
          <w:rFonts w:ascii="Calibri" w:hAnsi="Calibri"/>
          <w:b/>
          <w:i/>
          <w:sz w:val="18"/>
        </w:rPr>
        <w:t xml:space="preserve">Evidentiary purpose: </w:t>
      </w:r>
      <w:r>
        <w:rPr>
          <w:rFonts w:ascii="Calibri" w:hAnsi="Calibri"/>
          <w:i/>
          <w:sz w:val="18"/>
        </w:rPr>
        <w:t>Establishes the true starting point of each module from the person who built it. This is the factual question that decides whether the accused functionality was independently developed, adapted from public sources, or derived from SkyVault material, and it cannot be answered from the white paper because the white paper asserts a starting point without documenting one.</w:t>
      </w:r>
    </w:p>
    <w:p>
      <w:pPr>
        <w:spacing w:before="120" w:after="40"/>
        <w:ind w:left="259"/>
      </w:pPr>
      <w:r>
        <w:rPr>
          <w:rFonts w:ascii="Calibri" w:hAnsi="Calibri"/>
          <w:b/>
          <w:i w:val="0"/>
          <w:sz w:val="20"/>
        </w:rPr>
        <w:t>Q-B3.  Identify the repositories, branches and file paths for the components you worked on, and tell me who authored the initial commit for each. I want names and paths, not descriptions.</w:t>
      </w:r>
    </w:p>
    <w:p>
      <w:pPr>
        <w:spacing w:after="40"/>
        <w:ind w:left="518"/>
        <w:jc w:val="both"/>
      </w:pPr>
      <w:r>
        <w:rPr>
          <w:rFonts w:ascii="Calibri" w:hAnsi="Calibri"/>
          <w:b/>
          <w:i/>
          <w:sz w:val="18"/>
        </w:rPr>
        <w:t xml:space="preserve">Source: </w:t>
      </w:r>
      <w:r>
        <w:rPr>
          <w:rFonts w:ascii="Calibri" w:hAnsi="Calibri"/>
          <w:i/>
          <w:sz w:val="18"/>
        </w:rPr>
        <w:t>skyvault-complaint.docx paras. 33 and 116 (naming AeroCore source files `navfusion.c`, `pathoptengine.h` and `swarm_proto.cpp`), para. 118 (alleging PathForge firmware contains code substantially similar to those files) and para. 61(iii) (demanding a full forensic audit of Meridian's source code repositories); meridian-cd-response.docx para. 15 (declining the audit demand as premature and overbroad and stating that such access would require formal litigation with appropriate protective measures); pathforge-whitepaper-excerpt.docx, Section 7.1 (four independently deployable modules).</w:t>
      </w:r>
    </w:p>
    <w:p>
      <w:pPr>
        <w:spacing w:after="100"/>
        <w:ind w:left="518"/>
        <w:jc w:val="both"/>
      </w:pPr>
      <w:r>
        <w:rPr>
          <w:rFonts w:ascii="Calibri" w:hAnsi="Calibri"/>
          <w:b/>
          <w:i/>
          <w:sz w:val="18"/>
        </w:rPr>
        <w:t xml:space="preserve">Evidentiary purpose: </w:t>
      </w:r>
      <w:r>
        <w:rPr>
          <w:rFonts w:ascii="Calibri" w:hAnsi="Calibri"/>
          <w:i/>
          <w:sz w:val="18"/>
        </w:rPr>
        <w:t>Produces the concrete inventory needed to scope a source-code comparison and to respond to the audit demand on Meridian's own terms. The Complaint asserts similarity at the level of "structure, sequence, and organization" without identifying a single PathForge file, so the defense must build the file-level map itself. This question also supports a proportionate production proposal under a protective order, which is a materially stronger position than the blanket refusal recorded in the April 5 Response.</w:t>
      </w:r>
    </w:p>
    <w:p>
      <w:pPr>
        <w:spacing w:before="120" w:after="40"/>
        <w:ind w:left="259"/>
      </w:pPr>
      <w:r>
        <w:rPr>
          <w:rFonts w:ascii="Calibri" w:hAnsi="Calibri"/>
          <w:b/>
          <w:i w:val="0"/>
          <w:sz w:val="20"/>
        </w:rPr>
        <w:t>Q-B4.  Describe the architecture of the module you worked on — how it is structured internally and how it interfaces with the other modules — and tell me whether any part of it was written by reusing code from another project, inside or outside Meridian.</w:t>
      </w:r>
    </w:p>
    <w:p>
      <w:pPr>
        <w:spacing w:after="40"/>
        <w:ind w:left="518"/>
        <w:jc w:val="both"/>
      </w:pPr>
      <w:r>
        <w:rPr>
          <w:rFonts w:ascii="Calibri" w:hAnsi="Calibri"/>
          <w:b/>
          <w:i/>
          <w:sz w:val="18"/>
        </w:rPr>
        <w:t xml:space="preserve">Source: </w:t>
      </w:r>
      <w:r>
        <w:rPr>
          <w:rFonts w:ascii="Calibri" w:hAnsi="Calibri"/>
          <w:i/>
          <w:sz w:val="18"/>
        </w:rPr>
        <w:t>pathforge-whitepaper-excerpt.docx, Section 7.1 (each module "was engineered as a self-contained component with well-defined interfaces") and Section 3.2 (the seven-stage pipeline: sensor data acquisition, temporal alignment, pre-processing and noise filtering, EKF fusion, 3D occupancy grid generation, obstacle classification and tracking, avoidance path computation); skyvault-complaint.docx, claim chart table for the '561 Patent, claim 1 (mapping claim limitations to PathForge's Sensor Integration Layer, Threat Assessment Module, Dynamic Path Replanner and Flight Controller API).</w:t>
      </w:r>
    </w:p>
    <w:p>
      <w:pPr>
        <w:spacing w:after="100"/>
        <w:ind w:left="518"/>
        <w:jc w:val="both"/>
      </w:pPr>
      <w:r>
        <w:rPr>
          <w:rFonts w:ascii="Calibri" w:hAnsi="Calibri"/>
          <w:b/>
          <w:i/>
          <w:sz w:val="18"/>
        </w:rPr>
        <w:t xml:space="preserve">Evidentiary purpose: </w:t>
      </w:r>
      <w:r>
        <w:rPr>
          <w:rFonts w:ascii="Calibri" w:hAnsi="Calibri"/>
          <w:i/>
          <w:sz w:val="18"/>
        </w:rPr>
        <w:t>Tests the modularity representation in the white paper against the actual code structure, and identifies reuse that may originate from a third party rather than from SkyVault. The Complaint's claim chart treats PathForge as an integrated accused product; if the modules are genuinely independent, that fact affects both the technical comparison and any apportionment of damages.</w:t>
      </w:r>
    </w:p>
    <w:p>
      <w:pPr>
        <w:spacing w:before="120" w:after="40"/>
        <w:ind w:left="259"/>
      </w:pPr>
      <w:r>
        <w:rPr>
          <w:rFonts w:ascii="Calibri" w:hAnsi="Calibri"/>
          <w:b/>
          <w:i w:val="0"/>
          <w:sz w:val="20"/>
        </w:rPr>
        <w:t>Q-B5.  Exhibit F, which SkyVault filed with its Complaint, records a transfer of approximately 4,700 files to a removable USB device on February 9, 2018 and six bulk exports from the Confluence workspace in the preceding week. Based on your own knowledge of Meridian's systems, is there any SkyVault-origin file, document or data set in any Meridian repository, file share, device or account that you are aware of?</w:t>
      </w:r>
    </w:p>
    <w:p>
      <w:pPr>
        <w:spacing w:after="40"/>
        <w:ind w:left="518"/>
        <w:jc w:val="both"/>
      </w:pPr>
      <w:r>
        <w:rPr>
          <w:rFonts w:ascii="Calibri" w:hAnsi="Calibri"/>
          <w:b/>
          <w:i/>
          <w:sz w:val="18"/>
        </w:rPr>
        <w:t xml:space="preserve">Source: </w:t>
      </w:r>
      <w:r>
        <w:rPr>
          <w:rFonts w:ascii="Calibri" w:hAnsi="Calibri"/>
          <w:i/>
          <w:sz w:val="18"/>
        </w:rPr>
        <w:t>exhibit-f-forensic-log.xlsx, Rows #27-#32 (six BULK_EXPORT events from 02/02/2018 to 02/08/2018, 1,526 files, approximately 9,681 MB, including 84 files from /SkyVault/Business/CustomerData/) and Row #34 (BULK_COPY_TO_REMOVABLE on 02/09/2018, 4,700 files, 18,473.2 MB, to Removable Disk F:\SkyVault_Export\, flagged ALERT); skyvault-complaint.docx paras. 48-50 and 94 (alleging the download and that it included files containing all five trade secret categories) and para. 119 (alleging Holt had access to and copied AeroCore source code); meridian-cd-response.docx para. 11 (denying the trade secret and copyright allegations in their entirety).</w:t>
      </w:r>
    </w:p>
    <w:p>
      <w:pPr>
        <w:spacing w:after="100"/>
        <w:ind w:left="518"/>
        <w:jc w:val="both"/>
      </w:pPr>
      <w:r>
        <w:rPr>
          <w:rFonts w:ascii="Calibri" w:hAnsi="Calibri"/>
          <w:b/>
          <w:i/>
          <w:sz w:val="18"/>
        </w:rPr>
        <w:t xml:space="preserve">Evidentiary purpose: </w:t>
      </w:r>
      <w:r>
        <w:rPr>
          <w:rFonts w:ascii="Calibri" w:hAnsi="Calibri"/>
          <w:i/>
          <w:sz w:val="18"/>
        </w:rPr>
        <w:t>Tests the denial at the systems level with the witnesses who would actually know. This is the question that determines whether Meridian can support a clean-hands factual position on the retained-files issue, and it identifies the systems and custodians whose records should be searched. Counsel should be alert that a negative answer from one engineer does not establish a company-wide negative, so the question should be asked of every technical witness and paired with a records search.</w:t>
      </w:r>
    </w:p>
    <w:p>
      <w:pPr>
        <w:keepNext/>
        <w:spacing w:before="220" w:after="80"/>
      </w:pPr>
      <w:r>
        <w:rPr>
          <w:rFonts w:ascii="Calibri" w:hAnsi="Calibri"/>
          <w:b/>
          <w:color w:val="1F3E6B"/>
          <w:sz w:val="21"/>
        </w:rPr>
        <w:t>B.2 — LEAD FAMILY 5 (CONTINUED): PUBLIC SOURCES, DEPENDENCIES AND THEIR ACTUAL USE</w:t>
      </w:r>
    </w:p>
    <w:p>
      <w:pPr>
        <w:spacing w:before="120" w:after="40"/>
        <w:ind w:left="259"/>
      </w:pPr>
      <w:r>
        <w:rPr>
          <w:rFonts w:ascii="Calibri" w:hAnsi="Calibri"/>
          <w:b/>
          <w:i w:val="0"/>
          <w:sz w:val="20"/>
        </w:rPr>
        <w:t>Q-B6.  I want to go through each public source named in the white paper with you one at a time. For each, tell me whether you personally read, cited, evaluated, cloned, imported as a dependency, modified, used, or did not use it.</w:t>
      </w:r>
    </w:p>
    <w:p>
      <w:pPr>
        <w:spacing w:after="40"/>
        <w:ind w:left="518"/>
        <w:jc w:val="both"/>
      </w:pPr>
      <w:r>
        <w:rPr>
          <w:rFonts w:ascii="Calibri" w:hAnsi="Calibri"/>
          <w:b/>
          <w:i/>
          <w:sz w:val="18"/>
        </w:rPr>
        <w:t xml:space="preserve">Source: </w:t>
      </w:r>
      <w:r>
        <w:rPr>
          <w:rFonts w:ascii="Calibri" w:hAnsi="Calibri"/>
          <w:i/>
          <w:sz w:val="18"/>
        </w:rPr>
        <w:t>pathforge-whitepaper-excerpt.docx, References list (E. Vasquez, "Multi-Sensor Fusion for Autonomous UAV Navigation," IEEE Transactions on Robotics, Vol. 32, No. 5, pp. 1142-1158, October 2016; DroneNav Project, GitHub, first committed August 15, 2017, https://github.com/dronenav/dronenav; T. Nakamura and S. Okonkwo, "Extended Kalman Filter Design for Multi-Sensor UAV State Estimation," Journal of Autonomous Robotics, Vol. 14, No. 3, pp. 287-305, 2015; L. Ferreira, R. dos Santos and K. Patel, "Consensus Algorithms for Decentralized Multi-Robot Coordination," ICRA 2016, pp. 4421-4428) read with Section 2 (describing Vasquez as "a foundational contribution" and DroneNav as validating sliding-window optimization and keyframe-based map management), Section 3.1 and 3.3 (PathForge's approach "follows the general approach established by Vasquez (2016)" and represents "a commercially optimized implementation of that foundational methodology"), Section 4.2 (DroneNav's codebase "implemented the core pipeline" of the VIO approach), Section 5.2 (Ferreira et al. for consensus) and Section 7.2 (design "informed by" Vasquez and Nakamura and Okonkwo, and "informed by" DroneNav).</w:t>
      </w:r>
    </w:p>
    <w:p>
      <w:pPr>
        <w:spacing w:after="100"/>
        <w:ind w:left="518"/>
        <w:jc w:val="both"/>
      </w:pPr>
      <w:r>
        <w:rPr>
          <w:rFonts w:ascii="Calibri" w:hAnsi="Calibri"/>
          <w:b/>
          <w:i/>
          <w:sz w:val="18"/>
        </w:rPr>
        <w:t xml:space="preserve">Evidentiary purpose: </w:t>
      </w:r>
      <w:r>
        <w:rPr>
          <w:rFonts w:ascii="Calibri" w:hAnsi="Calibri"/>
          <w:i/>
          <w:sz w:val="18"/>
        </w:rPr>
        <w:t>Forces the distinction between the different relationships a witness can have to a public source, because the white paper's verbs ("informed," "reference point," "follows the general approach") are not precise enough to establish independent development or to exclude copying. A dependency that was cloned and modified is a different fact from a paper that was read, and both are different from a source that was named for credibility and never used. The answer should be recorded source by source, with the witness's own recollection of when they encountered each one.</w:t>
      </w:r>
    </w:p>
    <w:p>
      <w:pPr>
        <w:spacing w:before="120" w:after="40"/>
        <w:ind w:left="259"/>
      </w:pPr>
      <w:r>
        <w:rPr>
          <w:rFonts w:ascii="Calibri" w:hAnsi="Calibri"/>
          <w:b/>
          <w:i w:val="0"/>
          <w:sz w:val="20"/>
        </w:rPr>
        <w:t>Q-B7.  For DroneNav specifically: who on the team worked with it, what was actually taken from it if anything, and how can we demonstrate today what was and was not taken?</w:t>
      </w:r>
    </w:p>
    <w:p>
      <w:pPr>
        <w:spacing w:after="40"/>
        <w:ind w:left="518"/>
        <w:jc w:val="both"/>
      </w:pPr>
      <w:r>
        <w:rPr>
          <w:rFonts w:ascii="Calibri" w:hAnsi="Calibri"/>
          <w:b/>
          <w:i/>
          <w:sz w:val="18"/>
        </w:rPr>
        <w:t xml:space="preserve">Source: </w:t>
      </w:r>
      <w:r>
        <w:rPr>
          <w:rFonts w:ascii="Calibri" w:hAnsi="Calibri"/>
          <w:i/>
          <w:sz w:val="18"/>
        </w:rPr>
        <w:t>pathforge-whitepaper-excerpt.docx, Section 4.2 (DroneNav's codebase "implemented the core pipeline of feature tracking, sliding-window optimization, keyframe management, and IMU pre-integration for monocular camera configurations" and PathForge "builds upon these established techniques with several engineering improvements") and Section 7.2 (PathForge's VIO pipeline "was developed independently, drawing on the same well-known algorithmic foundations — sliding-window optimization, keyframe-based mapping, IMU pre-integration — while adding" the three named improvements); pathforge-whitepaper-excerpt.docx, Section 2 (DroneNav first committed August 15, 2017; described as a proof-of-concept whose codebase "provided a valuable reference point for the broader community").</w:t>
      </w:r>
    </w:p>
    <w:p>
      <w:pPr>
        <w:spacing w:after="100"/>
        <w:ind w:left="518"/>
        <w:jc w:val="both"/>
      </w:pPr>
      <w:r>
        <w:rPr>
          <w:rFonts w:ascii="Calibri" w:hAnsi="Calibri"/>
          <w:b/>
          <w:i/>
          <w:sz w:val="18"/>
        </w:rPr>
        <w:t xml:space="preserve">Evidentiary purpose: </w:t>
      </w:r>
      <w:r>
        <w:rPr>
          <w:rFonts w:ascii="Calibri" w:hAnsi="Calibri"/>
          <w:i/>
          <w:sz w:val="18"/>
        </w:rPr>
        <w:t>DroneNav is the pivotal public source for the GPS-denied module and the one most likely to be probed at a deposition, because its first commit date falls inside Holt's SkyVault tenure and because the white paper describes its pipeline in the same component terms the '227 Patent claims. The interview should establish the mechanics of any use — clone, fork, vendored copy, dependency declaration, or reading only — and should identify the artifacts (repository history, license file, package manifests, build scripts, design notes) that will prove the answer independently.</w:t>
      </w:r>
    </w:p>
    <w:p>
      <w:pPr>
        <w:spacing w:before="120" w:after="40"/>
        <w:ind w:left="259"/>
      </w:pPr>
      <w:r>
        <w:rPr>
          <w:rFonts w:ascii="Calibri" w:hAnsi="Calibri"/>
          <w:b/>
          <w:i w:val="0"/>
          <w:sz w:val="20"/>
        </w:rPr>
        <w:t>Q-B8.  List every third-party or open-source component in the module you worked on, with its license, and tell me whether any of them was modified and whether the modifications were contributed back or documented.</w:t>
      </w:r>
    </w:p>
    <w:p>
      <w:pPr>
        <w:spacing w:after="40"/>
        <w:ind w:left="518"/>
        <w:jc w:val="both"/>
      </w:pPr>
      <w:r>
        <w:rPr>
          <w:rFonts w:ascii="Calibri" w:hAnsi="Calibri"/>
          <w:b/>
          <w:i/>
          <w:sz w:val="18"/>
        </w:rPr>
        <w:t xml:space="preserve">Source: </w:t>
      </w:r>
      <w:r>
        <w:rPr>
          <w:rFonts w:ascii="Calibri" w:hAnsi="Calibri"/>
          <w:i/>
          <w:sz w:val="18"/>
        </w:rPr>
        <w:t>pathforge-whitepaper-excerpt.docx, Section 1 final paragraph (the platform's value lies in "its unique integration, optimization, and commercial-grade implementation of these techniques") and Section 7.2 final paragraph ("The platform builds upon publicly available academic research and open-source implementations that are widely known in the autonomous systems community"); holt-eciaa-agreement.docx, Section 3.4 (the right to use publicly available information and general industry knowledge) and Section 2.1(i) (Confidential Information excludes information that is or becomes publicly available through no fault or breach by Employee); meridian-cd-response.docx para. 11 ("Meridian maintains robust internal compliance processes designed to safeguard against the unauthorized use of third-party intellectual property").</w:t>
      </w:r>
    </w:p>
    <w:p>
      <w:pPr>
        <w:spacing w:after="100"/>
        <w:ind w:left="518"/>
        <w:jc w:val="both"/>
      </w:pPr>
      <w:r>
        <w:rPr>
          <w:rFonts w:ascii="Calibri" w:hAnsi="Calibri"/>
          <w:b/>
          <w:i/>
          <w:sz w:val="18"/>
        </w:rPr>
        <w:t xml:space="preserve">Evidentiary purpose: </w:t>
      </w:r>
      <w:r>
        <w:rPr>
          <w:rFonts w:ascii="Calibri" w:hAnsi="Calibri"/>
          <w:i/>
          <w:sz w:val="18"/>
        </w:rPr>
        <w:t>Builds the component-level provenance record that supports both the independent-development defense and the representation about compliance processes, and it is the record that would be needed for any open-source license analysis. The white paper's four references cannot be the whole inventory of a platform this size, so the interview should treat the published list as a starting point and ask for the complete dependency record.</w:t>
      </w:r>
    </w:p>
    <w:p>
      <w:pPr>
        <w:spacing w:before="120" w:after="40"/>
        <w:ind w:left="259"/>
      </w:pPr>
      <w:r>
        <w:rPr>
          <w:rFonts w:ascii="Calibri" w:hAnsi="Calibri"/>
          <w:b/>
          <w:i w:val="0"/>
          <w:sz w:val="20"/>
        </w:rPr>
        <w:t>Q-B9.  Describe the specific improvements Meridian made to the public approaches it adopted — multi-scale feature tracking, adaptive keyframe selection, and LiDAR-VIO fusion — and tell me who built each, when, and what records document the work.</w:t>
      </w:r>
    </w:p>
    <w:p>
      <w:pPr>
        <w:spacing w:after="40"/>
        <w:ind w:left="518"/>
        <w:jc w:val="both"/>
      </w:pPr>
      <w:r>
        <w:rPr>
          <w:rFonts w:ascii="Calibri" w:hAnsi="Calibri"/>
          <w:b/>
          <w:i/>
          <w:sz w:val="18"/>
        </w:rPr>
        <w:t xml:space="preserve">Source: </w:t>
      </w:r>
      <w:r>
        <w:rPr>
          <w:rFonts w:ascii="Calibri" w:hAnsi="Calibri"/>
          <w:i/>
          <w:sz w:val="18"/>
        </w:rPr>
        <w:t>pathforge-whitepaper-excerpt.docx, Section 4.2 final paragraph (identifying exactly three engineering improvements: (1) multi-scale feature tracking for low-texture environments, (2) adaptive keyframe selection based on information gain rather than fixed temporal or spatial intervals, and (3) tightly-coupled LiDAR-VIO fusion as a fallback mode for featureless corridors or low-light conditions) and Section 4.3 (PathForge's implementation "extends the foundational VIO-based navigation demonstrated in projects like DroneNav by integrating mission-level planning with real-time localization uncertainty"); skyvault-complaint.docx para. 119 (asserting that the similarities "cannot be explained by independent creation").</w:t>
      </w:r>
    </w:p>
    <w:p>
      <w:pPr>
        <w:spacing w:after="100"/>
        <w:ind w:left="518"/>
        <w:jc w:val="both"/>
      </w:pPr>
      <w:r>
        <w:rPr>
          <w:rFonts w:ascii="Calibri" w:hAnsi="Calibri"/>
          <w:b/>
          <w:i/>
          <w:sz w:val="18"/>
        </w:rPr>
        <w:t xml:space="preserve">Evidentiary purpose: </w:t>
      </w:r>
      <w:r>
        <w:rPr>
          <w:rFonts w:ascii="Calibri" w:hAnsi="Calibri"/>
          <w:i/>
          <w:sz w:val="18"/>
        </w:rPr>
        <w:t>The white paper already identifies the precise incremental contributions Meridian claims; the interview converts those claims into evidence by attaching each to an author, a date and a record. These four items are the most concrete available answer to the Complaint's assertion that independent creation cannot explain the asserted similarities, and they should be documented before any technical comparison is performed so that the comparison is measured against a specific account of what Meridian added.</w:t>
      </w:r>
    </w:p>
    <w:p>
      <w:pPr>
        <w:spacing w:before="120" w:after="40"/>
        <w:ind w:left="259"/>
      </w:pPr>
      <w:r>
        <w:rPr>
          <w:rFonts w:ascii="Calibri" w:hAnsi="Calibri"/>
          <w:b/>
          <w:i w:val="0"/>
          <w:sz w:val="20"/>
        </w:rPr>
        <w:t>Q-B10.  Where do PathForge's performance numbers come from? The white paper reports 99.7% detection rate, 38 ms latency, 8 cm accuracy, under 0.5% drift, 97.3% mission completion, 14 ms inter-drone latency, zero collisions across 1,200+ hours and scalability to 24 drones. Identify the test records behind those numbers.</w:t>
      </w:r>
    </w:p>
    <w:p>
      <w:pPr>
        <w:spacing w:after="40"/>
        <w:ind w:left="518"/>
        <w:jc w:val="both"/>
      </w:pPr>
      <w:r>
        <w:rPr>
          <w:rFonts w:ascii="Calibri" w:hAnsi="Calibri"/>
          <w:b/>
          <w:i/>
          <w:sz w:val="18"/>
        </w:rPr>
        <w:t xml:space="preserve">Source: </w:t>
      </w:r>
      <w:r>
        <w:rPr>
          <w:rFonts w:ascii="Calibri" w:hAnsi="Calibri"/>
          <w:i/>
          <w:sz w:val="18"/>
        </w:rPr>
        <w:t>pathforge-whitepaper-excerpt.docx, Section 3.3 performance benchmark table and the accompanying comparison to Vasquez (2016) (47 ms latency and 15 cm accuracy in controlled laboratory conditions; PathForge's 19% latency improvement and 47% accuracy improvement in structured environments; 14 cm RMS in unstructured environments); Section 4.4 performance table and the description of testing environments (a 10,000 sq. ft. warehouse, a 1.2-kilometer utility tunnel, a simulated urban canyon course with building separations of 8-15 meters); Section 5.4 performance table; Section 8 conclusion (restating the same figures); skyvault-complaint.docx paras. 58 and 77 (relying on the white paper to describe PathForge's technical architecture and GPS-denied module).</w:t>
      </w:r>
    </w:p>
    <w:p>
      <w:pPr>
        <w:spacing w:after="100"/>
        <w:ind w:left="518"/>
        <w:jc w:val="both"/>
      </w:pPr>
      <w:r>
        <w:rPr>
          <w:rFonts w:ascii="Calibri" w:hAnsi="Calibri"/>
          <w:b/>
          <w:i/>
          <w:sz w:val="18"/>
        </w:rPr>
        <w:t xml:space="preserve">Evidentiary purpose: </w:t>
      </w:r>
      <w:r>
        <w:rPr>
          <w:rFonts w:ascii="Calibri" w:hAnsi="Calibri"/>
          <w:i/>
          <w:sz w:val="18"/>
        </w:rPr>
        <w:t>Establishes whether the published performance claims are supported by contemporaneous test data or are marketing figures, because the Complaint relies on the white paper as its principal description of PathForge's architecture and the defense will need to characterize that document accurately. If the underlying test records exist and are dated, they independently corroborate the development timeline; if they do not exist, that is a fact the defense needs to know before the document is defended as a technical statement.</w:t>
      </w:r>
    </w:p>
    <w:p>
      <w:pPr>
        <w:keepNext/>
        <w:spacing w:before="220" w:after="80"/>
      </w:pPr>
      <w:r>
        <w:rPr>
          <w:rFonts w:ascii="Calibri" w:hAnsi="Calibri"/>
          <w:b/>
          <w:color w:val="1F3E6B"/>
          <w:sz w:val="21"/>
        </w:rPr>
        <w:t>B.3 — MODULE-LEVEL TESTING, RELEASE AND CONTRIBUTOR EVIDENCE</w:t>
      </w:r>
    </w:p>
    <w:p>
      <w:pPr>
        <w:spacing w:before="120" w:after="40"/>
        <w:ind w:left="259"/>
      </w:pPr>
      <w:r>
        <w:rPr>
          <w:rFonts w:ascii="Calibri" w:hAnsi="Calibri"/>
          <w:b/>
          <w:i w:val="0"/>
          <w:sz w:val="20"/>
        </w:rPr>
        <w:t>Q-B11.  For each module, describe the testing regime that preceded release — unit tests, integration tests, field tests, regression suites — and tell me whether those test records still exist.</w:t>
      </w:r>
    </w:p>
    <w:p>
      <w:pPr>
        <w:spacing w:after="40"/>
        <w:ind w:left="518"/>
        <w:jc w:val="both"/>
      </w:pPr>
      <w:r>
        <w:rPr>
          <w:rFonts w:ascii="Calibri" w:hAnsi="Calibri"/>
          <w:b/>
          <w:i/>
          <w:sz w:val="18"/>
        </w:rPr>
        <w:t xml:space="preserve">Source: </w:t>
      </w:r>
      <w:r>
        <w:rPr>
          <w:rFonts w:ascii="Calibri" w:hAnsi="Calibri"/>
          <w:i/>
          <w:sz w:val="18"/>
        </w:rPr>
        <w:t>pathforge-whitepaper-excerpt.docx, Section 3.3 ("extensively tested across a range of flight conditions and environments" with benchmarks "recorded during standardized testing at Meridian Dynamics' flight test facility and at customer deployment sites"), Section 4.4 (GPS-denied module "tested extensively across multiple GPS-denied environment types") and Section 5.4 (swarm module "tested in field conditions"); skyvault-complaint.docx paras. 118-119 (alleging substantial similarity and asserting that similarities are consistent with copying).</w:t>
      </w:r>
    </w:p>
    <w:p>
      <w:pPr>
        <w:spacing w:after="100"/>
        <w:ind w:left="518"/>
        <w:jc w:val="both"/>
      </w:pPr>
      <w:r>
        <w:rPr>
          <w:rFonts w:ascii="Calibri" w:hAnsi="Calibri"/>
          <w:b/>
          <w:i/>
          <w:sz w:val="18"/>
        </w:rPr>
        <w:t xml:space="preserve">Evidentiary purpose: </w:t>
      </w:r>
      <w:r>
        <w:rPr>
          <w:rFonts w:ascii="Calibri" w:hAnsi="Calibri"/>
          <w:i/>
          <w:sz w:val="18"/>
        </w:rPr>
        <w:t>Test records are the most reliable contemporaneous proof that a module was independently developed and hardened over time, and they are dated in a way that marketing documents are not. They also support the white paper's characterization of PathForge as a tested production platform rather than a derivative of another codebase, which is the factual premise of the non-infringement and independent-development positions.</w:t>
      </w:r>
    </w:p>
    <w:p>
      <w:pPr>
        <w:spacing w:before="120" w:after="40"/>
        <w:ind w:left="259"/>
      </w:pPr>
      <w:r>
        <w:rPr>
          <w:rFonts w:ascii="Calibri" w:hAnsi="Calibri"/>
          <w:b/>
          <w:i w:val="0"/>
          <w:sz w:val="20"/>
        </w:rPr>
        <w:t>Q-B12.  Give me the release history for the module you worked on — version numbers, release dates, and what changed in each release — and identify the release records.</w:t>
      </w:r>
    </w:p>
    <w:p>
      <w:pPr>
        <w:spacing w:after="40"/>
        <w:ind w:left="518"/>
        <w:jc w:val="both"/>
      </w:pPr>
      <w:r>
        <w:rPr>
          <w:rFonts w:ascii="Calibri" w:hAnsi="Calibri"/>
          <w:b/>
          <w:i/>
          <w:sz w:val="18"/>
        </w:rPr>
        <w:t xml:space="preserve">Source: </w:t>
      </w:r>
      <w:r>
        <w:rPr>
          <w:rFonts w:ascii="Calibri" w:hAnsi="Calibri"/>
          <w:i/>
          <w:sz w:val="18"/>
        </w:rPr>
        <w:t>pathforge-whitepaper-excerpt.docx, Section 7.2 timeline (September 2020: PathForge v1.0 commercial launch comprising the Navigation Module and Hardware Integration Layer; 2021-2022 continued enhancements, Swarm Coordination Module production deployment in Q1 2021, Analytics Dashboard release in Q3 2021) and Section 5.1 (first production deployment of the swarm module in early 2021); skyvault-complaint.docx para. 56 (alleging launch in or about September 2020) and para. 59 (alleging cumulative revenue in excess of $50 million since launch).</w:t>
      </w:r>
    </w:p>
    <w:p>
      <w:pPr>
        <w:spacing w:after="100"/>
        <w:ind w:left="518"/>
        <w:jc w:val="both"/>
      </w:pPr>
      <w:r>
        <w:rPr>
          <w:rFonts w:ascii="Calibri" w:hAnsi="Calibri"/>
          <w:b/>
          <w:i/>
          <w:sz w:val="18"/>
        </w:rPr>
        <w:t xml:space="preserve">Evidentiary purpose: </w:t>
      </w:r>
      <w:r>
        <w:rPr>
          <w:rFonts w:ascii="Calibri" w:hAnsi="Calibri"/>
          <w:i/>
          <w:sz w:val="18"/>
        </w:rPr>
        <w:t>A dated release history is the backbone of the development-timeline defense and is directly usable to test the Complaint's inference at paras. 54 and 140 that PathForge could not have been built on the asserted timeline without misappropriated material. Release records also fix the dates relevant to the '889 Patent, which was filed June 22, 2020, between the asserted swarm design start and the September 2020 launch.</w:t>
      </w:r>
    </w:p>
    <w:p>
      <w:pPr>
        <w:spacing w:before="120" w:after="40"/>
        <w:ind w:left="259"/>
      </w:pPr>
      <w:r>
        <w:rPr>
          <w:rFonts w:ascii="Calibri" w:hAnsi="Calibri"/>
          <w:b/>
          <w:i w:val="0"/>
          <w:sz w:val="20"/>
        </w:rPr>
        <w:t>Q-B13.  Who else worked on your module, including anyone who has since left Meridian, and what did each of them contribute?</w:t>
      </w:r>
    </w:p>
    <w:p>
      <w:pPr>
        <w:spacing w:after="40"/>
        <w:ind w:left="518"/>
        <w:jc w:val="both"/>
      </w:pPr>
      <w:r>
        <w:rPr>
          <w:rFonts w:ascii="Calibri" w:hAnsi="Calibri"/>
          <w:b/>
          <w:i/>
          <w:sz w:val="18"/>
        </w:rPr>
        <w:t xml:space="preserve">Source: </w:t>
      </w:r>
      <w:r>
        <w:rPr>
          <w:rFonts w:ascii="Calibri" w:hAnsi="Calibri"/>
          <w:i/>
          <w:sz w:val="18"/>
        </w:rPr>
        <w:t>pathforge-whitepaper-excerpt.docx, Section 1 (a dedicated engineering team of approximately 45 working full-time on PathForge development and customer integration), Section 2 (the white paper is attributed to Holt and the "PathForge Engineering Team") and Section 7.1 (each module "was developed as an independent engineering effort within the broader PathForge program"); holt-eciaa-agreement.docx, Sections 7.1(a)-(b) (non-solicitation and hiring restrictions on former SkyVault employees during the twelve months following termination).</w:t>
      </w:r>
    </w:p>
    <w:p>
      <w:pPr>
        <w:spacing w:after="100"/>
        <w:ind w:left="518"/>
        <w:jc w:val="both"/>
      </w:pPr>
      <w:r>
        <w:rPr>
          <w:rFonts w:ascii="Calibri" w:hAnsi="Calibri"/>
          <w:b/>
          <w:i/>
          <w:sz w:val="18"/>
        </w:rPr>
        <w:t xml:space="preserve">Evidentiary purpose: </w:t>
      </w:r>
      <w:r>
        <w:rPr>
          <w:rFonts w:ascii="Calibri" w:hAnsi="Calibri"/>
          <w:i/>
          <w:sz w:val="18"/>
        </w:rPr>
        <w:t>Identifies additional custodians and additional witnesses, including former employees whose departure may make their records harder to obtain and who should be interviewed or preserved early. It also builds the contributor record module by module, which is what an independent-development defense requires: not a company-level assertion, but a named person for each body of work.</w:t>
      </w:r>
    </w:p>
    <w:p>
      <w:pPr>
        <w:spacing w:before="120" w:after="40"/>
        <w:ind w:left="259"/>
      </w:pPr>
      <w:r>
        <w:rPr>
          <w:rFonts w:ascii="Calibri" w:hAnsi="Calibri"/>
          <w:b/>
          <w:i w:val="0"/>
          <w:sz w:val="20"/>
        </w:rPr>
        <w:t>Q-B14.  Were you ever asked to use, review, reproduce or avoid any material from another company, including SkyVault, and describe how any such instruction was given and documented.</w:t>
      </w:r>
    </w:p>
    <w:p>
      <w:pPr>
        <w:spacing w:after="40"/>
        <w:ind w:left="518"/>
        <w:jc w:val="both"/>
      </w:pPr>
      <w:r>
        <w:rPr>
          <w:rFonts w:ascii="Calibri" w:hAnsi="Calibri"/>
          <w:b/>
          <w:i/>
          <w:sz w:val="18"/>
        </w:rPr>
        <w:t xml:space="preserve">Source: </w:t>
      </w:r>
      <w:r>
        <w:rPr>
          <w:rFonts w:ascii="Calibri" w:hAnsi="Calibri"/>
          <w:i/>
          <w:sz w:val="18"/>
        </w:rPr>
        <w:t>holt-eciaa-agreement.docx, Section 4.2 (prohibition on connecting personal storage devices or transferring Company data without prior written approval), Section 3.1(b)-(c) (non-disclosure and non-use obligations) and Section 3.3(a) (permitted disclosures only to Company employees or authorized contractors with a need to know); meridian-cd-response.docx para. 11 (representation that Meridian "respects the intellectual property rights of others" and maintains compliance processes to guard against unauthorized use of third-party intellectual property); pathforge-whitepaper-excerpt.docx, Section 7.2 final paragraph (independent development assertion).</w:t>
      </w:r>
    </w:p>
    <w:p>
      <w:pPr>
        <w:spacing w:after="100"/>
        <w:ind w:left="518"/>
        <w:jc w:val="both"/>
      </w:pPr>
      <w:r>
        <w:rPr>
          <w:rFonts w:ascii="Calibri" w:hAnsi="Calibri"/>
          <w:b/>
          <w:i/>
          <w:sz w:val="18"/>
        </w:rPr>
        <w:t xml:space="preserve">Evidentiary purpose: </w:t>
      </w:r>
      <w:r>
        <w:rPr>
          <w:rFonts w:ascii="Calibri" w:hAnsi="Calibri"/>
          <w:i/>
          <w:sz w:val="18"/>
        </w:rPr>
        <w:t>Tests whether the compliance processes described in the April 5 Response were operating at the engineering level during the relevant period, and whether any instruction about third-party material was ever given. A documented instruction with a date is strong evidence of good-faith compliance; the absence of any instruction is itself a fact that counsel needs before the representation is relied upon in a filing.</w:t>
      </w:r>
    </w:p>
    <w:p>
      <w:pPr>
        <w:spacing w:before="120" w:after="40"/>
        <w:ind w:left="259"/>
      </w:pPr>
      <w:r>
        <w:rPr>
          <w:rFonts w:ascii="Calibri" w:hAnsi="Calibri"/>
          <w:b/>
          <w:i w:val="0"/>
          <w:sz w:val="20"/>
        </w:rPr>
        <w:t>Q-B15.  Identify the people at Meridian who would have received, reviewed or responded to the March 2024 letter from SkyVault's counsel or to the April 2024 response, other than the legal department.</w:t>
      </w:r>
    </w:p>
    <w:p>
      <w:pPr>
        <w:spacing w:after="40"/>
        <w:ind w:left="518"/>
        <w:jc w:val="both"/>
      </w:pPr>
      <w:r>
        <w:rPr>
          <w:rFonts w:ascii="Calibri" w:hAnsi="Calibri"/>
          <w:b/>
          <w:i/>
          <w:sz w:val="18"/>
        </w:rPr>
        <w:t xml:space="preserve">Source: </w:t>
      </w:r>
      <w:r>
        <w:rPr>
          <w:rFonts w:ascii="Calibri" w:hAnsi="Calibri"/>
          <w:i/>
          <w:sz w:val="18"/>
        </w:rPr>
        <w:t>meridian-cd-response.docx, addressee line (letter to Theresa N. Voss, Callister, Voss &amp; Greenbaum LLP, dated April 5, 2024), first paragraph (the firm writes "on behalf of Meridian and its officers and directors") and cc line (Jordan Kessler, VP of Legal, Meridian Dynamics, Inc.); skyvault-complaint.docx para. 61 (the March 12, 2024 letter was addressed to Priya Chandrasekaran, CEO, at Meridian's Austin headquarters) and para. 62 (the April 5, 2024 response acknowledged receipt and refused the demands).</w:t>
      </w:r>
    </w:p>
    <w:p>
      <w:pPr>
        <w:spacing w:after="100"/>
        <w:ind w:left="518"/>
        <w:jc w:val="both"/>
      </w:pPr>
      <w:r>
        <w:rPr>
          <w:rFonts w:ascii="Calibri" w:hAnsi="Calibri"/>
          <w:b/>
          <w:i/>
          <w:sz w:val="18"/>
        </w:rPr>
        <w:t xml:space="preserve">Evidentiary purpose: </w:t>
      </w:r>
      <w:r>
        <w:rPr>
          <w:rFonts w:ascii="Calibri" w:hAnsi="Calibri"/>
          <w:i/>
          <w:sz w:val="18"/>
        </w:rPr>
        <w:t>Maps the factual receipt-and-routing chain for the notice correspondence, which is the discoverable predicate for the willfulness allegations, and identifies which non-lawyers hold responsive documents. The question is framed to elicit who received and handled the correspondence as a business matter, and should not be extended into what any lawyer advised about it.</w:t>
      </w:r>
    </w:p>
    <w:p>
      <w:pPr>
        <w:keepNext/>
        <w:spacing w:before="280" w:after="100"/>
      </w:pPr>
      <w:r>
        <w:rPr>
          <w:rFonts w:ascii="Calibri" w:hAnsi="Calibri"/>
          <w:b/>
          <w:color w:val="142A4C"/>
          <w:sz w:val="25"/>
        </w:rPr>
        <w:t>VI. CATEGORY C — MERIDIAN'S LEGAL LEAD</w:t>
      </w:r>
    </w:p>
    <w:p>
      <w:pPr>
        <w:spacing w:after="120"/>
        <w:jc w:val="both"/>
      </w:pPr>
      <w:r>
        <w:rPr>
          <w:rFonts w:ascii="Calibri" w:hAnsi="Calibri"/>
          <w:b w:val="0"/>
          <w:i w:val="0"/>
          <w:sz w:val="20"/>
        </w:rPr>
        <w:t>Function in this round. The legal lead — identified in the furnished materials as Jordan Kessler, VP of Legal, who is copied on the April 5, 2024 response — is the witness who can establish the discoverable chronology of Meridian's response to the March 2024 allegations, verify or correct the factual bases of the representations made in that response, and define the privilege boundary for every other interview in this round. The legal lead should not be asked engineering questions and should not be treated as a source of technical fact; that role belongs to the technical witnesses in Category B. The interview is deliberately divided into two tracks that must be conducted in order: Track 1 (Questions C-1 through C-12) addresses discoverable business facts and the factual predicate for Meridian's public positions, while Track 2 (Questions C-13 through C-18) addresses the privilege architecture and should be conducted only after Track 1 is complete, so that factual answers are not shaped by the privilege discussion.</w:t>
      </w:r>
    </w:p>
    <w:p>
      <w:pPr>
        <w:spacing w:after="120"/>
        <w:ind w:left="259"/>
        <w:jc w:val="both"/>
      </w:pPr>
      <w:r>
        <w:rPr>
          <w:rFonts w:ascii="Calibri" w:hAnsi="Calibri"/>
          <w:b/>
          <w:sz w:val="19"/>
        </w:rPr>
        <w:t xml:space="preserve">Conduct note. </w:t>
      </w:r>
      <w:r>
        <w:rPr>
          <w:rFonts w:ascii="Calibri" w:hAnsi="Calibri"/>
          <w:sz w:val="19"/>
        </w:rPr>
        <w:t>Counsel conducting the interview should state on the record at the start of Track 2 that the discussion is for the purpose of identifying protected material and obtaining legal advice, and should document that statement.</w:t>
      </w:r>
    </w:p>
    <w:p>
      <w:pPr>
        <w:keepNext/>
        <w:spacing w:before="220" w:after="80"/>
      </w:pPr>
      <w:r>
        <w:rPr>
          <w:rFonts w:ascii="Calibri" w:hAnsi="Calibri"/>
          <w:b/>
          <w:color w:val="1F3E6B"/>
          <w:sz w:val="21"/>
        </w:rPr>
        <w:t>C.1 — TRACK 1: DISCOVERABLE FACTS, THE RESPONSE CHRONOLOGY, AND THE PREDICATE FOR MERIDIAN'S REPRESENTATIONS</w:t>
      </w:r>
    </w:p>
    <w:p>
      <w:pPr>
        <w:spacing w:before="120" w:after="40"/>
        <w:ind w:left="259"/>
      </w:pPr>
      <w:r>
        <w:rPr>
          <w:rFonts w:ascii="Calibri" w:hAnsi="Calibri"/>
          <w:b/>
          <w:i w:val="0"/>
          <w:sz w:val="20"/>
        </w:rPr>
        <w:t>Q-C1.  Describe how the March 12, 2024 letter from Callister, Voss &amp; Greenbaum reached Meridian, who opened it, who was told about it, and what happened next.</w:t>
      </w:r>
    </w:p>
    <w:p>
      <w:pPr>
        <w:spacing w:after="40"/>
        <w:ind w:left="518"/>
        <w:jc w:val="both"/>
      </w:pPr>
      <w:r>
        <w:rPr>
          <w:rFonts w:ascii="Calibri" w:hAnsi="Calibri"/>
          <w:b/>
          <w:i/>
          <w:sz w:val="18"/>
        </w:rPr>
        <w:t xml:space="preserve">Source: </w:t>
      </w:r>
      <w:r>
        <w:rPr>
          <w:rFonts w:ascii="Calibri" w:hAnsi="Calibri"/>
          <w:i/>
          <w:sz w:val="18"/>
        </w:rPr>
        <w:t>skyvault-complaint.docx para. 61 (letter dated March 12, 2024 sent by Callister, Voss &amp; Greenbaum LLP and addressed to Priya Chandrasekaran, CEO, at Meridian's Austin headquarters, identifying the '561, '227 and '889 Patents and the trade secret and copyright claims, and demanding cessation, $15 million in licensing fees and a full forensic audit of Meridian's source code repositories); meridian-cd-response.docx, first paragraph (acknowledging receipt of the March 12, 2024 letter and stating that Brackwell &amp; Haines writes on behalf of Meridian and its officers and directors).</w:t>
      </w:r>
    </w:p>
    <w:p>
      <w:pPr>
        <w:spacing w:after="100"/>
        <w:ind w:left="518"/>
        <w:jc w:val="both"/>
      </w:pPr>
      <w:r>
        <w:rPr>
          <w:rFonts w:ascii="Calibri" w:hAnsi="Calibri"/>
          <w:b/>
          <w:i/>
          <w:sz w:val="18"/>
        </w:rPr>
        <w:t xml:space="preserve">Evidentiary purpose: </w:t>
      </w:r>
      <w:r>
        <w:rPr>
          <w:rFonts w:ascii="Calibri" w:hAnsi="Calibri"/>
          <w:i/>
          <w:sz w:val="18"/>
        </w:rPr>
        <w:t>Establishes the receipt and routing chronology from the witness who handled it, which is the discoverable factual predicate for the willfulness allegations at Complaint paras. 63, 69-70, 78 and 86. The March 12, 2024 letter itself was not furnished, so nothing beyond Complaint para. 61 and the April 5 Response may be attributed to it; this question is also the mechanism for identifying and obtaining Meridian's copy. The answer should be recorded as a timeline with dates and custodians, separate from any legal assessment of the letter.</w:t>
      </w:r>
    </w:p>
    <w:p>
      <w:pPr>
        <w:spacing w:before="120" w:after="40"/>
        <w:ind w:left="259"/>
      </w:pPr>
      <w:r>
        <w:rPr>
          <w:rFonts w:ascii="Calibri" w:hAnsi="Calibri"/>
          <w:b/>
          <w:i w:val="0"/>
          <w:sz w:val="20"/>
        </w:rPr>
        <w:t>Q-C2.  When was Brackwell &amp; Haines retained, and what was the scope of the engagement as you understood it?</w:t>
      </w:r>
    </w:p>
    <w:p>
      <w:pPr>
        <w:spacing w:after="40"/>
        <w:ind w:left="518"/>
        <w:jc w:val="both"/>
      </w:pPr>
      <w:r>
        <w:rPr>
          <w:rFonts w:ascii="Calibri" w:hAnsi="Calibri"/>
          <w:b/>
          <w:i/>
          <w:sz w:val="18"/>
        </w:rPr>
        <w:t xml:space="preserve">Source: </w:t>
      </w:r>
      <w:r>
        <w:rPr>
          <w:rFonts w:ascii="Calibri" w:hAnsi="Calibri"/>
          <w:i/>
          <w:sz w:val="18"/>
        </w:rPr>
        <w:t>meridian-cd-response.docx, letterhead and signature block (Brackwell &amp; Haines LLP, 600 Congress Avenue, Suite 3200, Austin, Texas; Laura Brackwell, Partner) and first paragraph ("This firm represents Meridian Dynamics, Inc. ("Meridian") in connection with the matters raised in your March 12, 2024 letter").</w:t>
      </w:r>
    </w:p>
    <w:p>
      <w:pPr>
        <w:spacing w:after="100"/>
        <w:ind w:left="518"/>
        <w:jc w:val="both"/>
      </w:pPr>
      <w:r>
        <w:rPr>
          <w:rFonts w:ascii="Calibri" w:hAnsi="Calibri"/>
          <w:b/>
          <w:i/>
          <w:sz w:val="18"/>
        </w:rPr>
        <w:t xml:space="preserve">Evidentiary purpose: </w:t>
      </w:r>
      <w:r>
        <w:rPr>
          <w:rFonts w:ascii="Calibri" w:hAnsi="Calibri"/>
          <w:i/>
          <w:sz w:val="18"/>
        </w:rPr>
        <w:t>Fixes the retention date, which is the anchor for the privilege analysis in Track 2 and for the point at which Meridian's preservation obligations and work-product protections began. The date of retention is itself a discoverable fact even though the advice given after it is not.</w:t>
      </w:r>
    </w:p>
    <w:p>
      <w:pPr>
        <w:spacing w:before="120" w:after="40"/>
        <w:ind w:left="259"/>
      </w:pPr>
      <w:r>
        <w:rPr>
          <w:rFonts w:ascii="Calibri" w:hAnsi="Calibri"/>
          <w:b/>
          <w:i w:val="0"/>
          <w:sz w:val="20"/>
        </w:rPr>
        <w:t>Q-C3.  Describe what Meridian did to preserve documents, devices, repositories and communications after the letter arrived: what was issued, when, to whom, and by what means.</w:t>
      </w:r>
    </w:p>
    <w:p>
      <w:pPr>
        <w:spacing w:after="40"/>
        <w:ind w:left="518"/>
        <w:jc w:val="both"/>
      </w:pPr>
      <w:r>
        <w:rPr>
          <w:rFonts w:ascii="Calibri" w:hAnsi="Calibri"/>
          <w:b/>
          <w:i/>
          <w:sz w:val="18"/>
        </w:rPr>
        <w:t xml:space="preserve">Source: </w:t>
      </w:r>
      <w:r>
        <w:rPr>
          <w:rFonts w:ascii="Calibri" w:hAnsi="Calibri"/>
          <w:i/>
          <w:sz w:val="18"/>
        </w:rPr>
        <w:t>meridian-cd-response.docx paras. 10-16 (Meridian's denial of the patent, trade secret and copyright allegations; assertion of independent development; reservation of non-infringement, invalidity, unenforceability and independent-development defenses; declination of the cessation, payment and audit demands) and para. 16 (reservation of rights and defenses, including challenges to patent validity); exhibit-f-forensic-log.xlsx, Rows #40 (exit interview scheduled, "IT to preserve all logs and endpoint data per litigation hold"), #41 (permissions audit initiated for user mholt across all Engineering subspaces), #45 ("Forensic image of workstation SV-ENG-WS-014 requested. Hargrove Forensics Group engaged per counsel authorization") and #49 (workstation secured in IT evidence storage; forensic imaging scheduled) as a comparator showing what a documented, contemporaneous preservation sequence looks like.</w:t>
      </w:r>
    </w:p>
    <w:p>
      <w:pPr>
        <w:spacing w:after="100"/>
        <w:ind w:left="518"/>
        <w:jc w:val="both"/>
      </w:pPr>
      <w:r>
        <w:rPr>
          <w:rFonts w:ascii="Calibri" w:hAnsi="Calibri"/>
          <w:b/>
          <w:i/>
          <w:sz w:val="18"/>
        </w:rPr>
        <w:t xml:space="preserve">Evidentiary purpose: </w:t>
      </w:r>
      <w:r>
        <w:rPr>
          <w:rFonts w:ascii="Calibri" w:hAnsi="Calibri"/>
          <w:i/>
          <w:sz w:val="18"/>
        </w:rPr>
        <w:t>Preservation conduct is litigated independently of the merits and is one of the few areas where a defendant can be sanctioned for conduct rather than for infringement. Establishing what was actually done, when, and by whom is therefore a priority, and the answer should be verified against the written hold notices and IT records rather than accepted from recollection. The Exhibit F entries are cited as a comparator because they show the level of documentation SkyVault itself generated in 2018 for a comparable event.</w:t>
      </w:r>
    </w:p>
    <w:p>
      <w:pPr>
        <w:spacing w:before="120" w:after="40"/>
        <w:ind w:left="259"/>
      </w:pPr>
      <w:r>
        <w:rPr>
          <w:rFonts w:ascii="Calibri" w:hAnsi="Calibri"/>
          <w:b/>
          <w:i w:val="0"/>
          <w:sz w:val="20"/>
        </w:rPr>
        <w:t>Q-C4.  Since March 2024, has Meridian suspended, modified or continued any routine document-retention, deletion or device-replacement practice, and if so, describe the change and when it took effect.</w:t>
      </w:r>
    </w:p>
    <w:p>
      <w:pPr>
        <w:spacing w:after="40"/>
        <w:ind w:left="518"/>
        <w:jc w:val="both"/>
      </w:pPr>
      <w:r>
        <w:rPr>
          <w:rFonts w:ascii="Calibri" w:hAnsi="Calibri"/>
          <w:b/>
          <w:i/>
          <w:sz w:val="18"/>
        </w:rPr>
        <w:t xml:space="preserve">Source: </w:t>
      </w:r>
      <w:r>
        <w:rPr>
          <w:rFonts w:ascii="Calibri" w:hAnsi="Calibri"/>
          <w:i/>
          <w:sz w:val="18"/>
        </w:rPr>
        <w:t>meridian-cd-response.docx para. 16 (reservation of all rights, claims and defenses, including challenges to validity, and reservation of the right to seek attorneys' fees and costs if litigation is initiated); exhibit-f-forensic-log.xlsx, Rows #41 (permissions audit initiated) and #42-#43 (ACCESS_REVOKED and VPN_ACCESS_REVOKED on 02/13/2018 per HR directive, ref INC-2018-00417) as a comparator for the type of access and retention actions a documented response includes.</w:t>
      </w:r>
    </w:p>
    <w:p>
      <w:pPr>
        <w:spacing w:after="100"/>
        <w:ind w:left="518"/>
        <w:jc w:val="both"/>
      </w:pPr>
      <w:r>
        <w:rPr>
          <w:rFonts w:ascii="Calibri" w:hAnsi="Calibri"/>
          <w:b/>
          <w:i/>
          <w:sz w:val="18"/>
        </w:rPr>
        <w:t xml:space="preserve">Evidentiary purpose: </w:t>
      </w:r>
      <w:r>
        <w:rPr>
          <w:rFonts w:ascii="Calibri" w:hAnsi="Calibri"/>
          <w:i/>
          <w:sz w:val="18"/>
        </w:rPr>
        <w:t>Tests whether ordinary retention practices continued after notice, which is the standard preservation question and one that is entirely factual. The answer also identifies the IT and HR personnel who executed the actions and the systems that hold the relevant records, so that any later preservation dispute can be resolved from contemporaneous evidence rather than from after-the-fact description.</w:t>
      </w:r>
    </w:p>
    <w:p>
      <w:pPr>
        <w:spacing w:before="120" w:after="40"/>
        <w:ind w:left="259"/>
      </w:pPr>
      <w:r>
        <w:rPr>
          <w:rFonts w:ascii="Calibri" w:hAnsi="Calibri"/>
          <w:b/>
          <w:i w:val="0"/>
          <w:sz w:val="20"/>
        </w:rPr>
        <w:t>Q-C5.  The April 5, 2024 response states that Meridian "independently developed its PathForge platform through the efforts of its engineering teams." What factual work was done to support that statement before the letter was sent?</w:t>
      </w:r>
    </w:p>
    <w:p>
      <w:pPr>
        <w:spacing w:after="40"/>
        <w:ind w:left="518"/>
        <w:jc w:val="both"/>
      </w:pPr>
      <w:r>
        <w:rPr>
          <w:rFonts w:ascii="Calibri" w:hAnsi="Calibri"/>
          <w:b/>
          <w:i/>
          <w:sz w:val="18"/>
        </w:rPr>
        <w:t xml:space="preserve">Source: </w:t>
      </w:r>
      <w:r>
        <w:rPr>
          <w:rFonts w:ascii="Calibri" w:hAnsi="Calibri"/>
          <w:i/>
          <w:sz w:val="18"/>
        </w:rPr>
        <w:t>meridian-cd-response.docx para. 11 (the independent-development and compliance representations) and para. 16 (reservation of the independent-development defense); pathforge-whitepaper-excerpt.docx, Section 7.2 final paragraph ("All PathForge technology was developed independently by the Meridian engineering team") and Section 1 ("Developed from the ground up beginning in 2018"); skyvault-complaint.docx paras. 54-55 (alleging on information and belief that Holt used misappropriated files to develop PathForge) and para. 119 (asserting the similarities cannot be explained by independent creation).</w:t>
      </w:r>
    </w:p>
    <w:p>
      <w:pPr>
        <w:spacing w:after="100"/>
        <w:ind w:left="518"/>
        <w:jc w:val="both"/>
      </w:pPr>
      <w:r>
        <w:rPr>
          <w:rFonts w:ascii="Calibri" w:hAnsi="Calibri"/>
          <w:b/>
          <w:i/>
          <w:sz w:val="18"/>
        </w:rPr>
        <w:t xml:space="preserve">Evidentiary purpose: </w:t>
      </w:r>
      <w:r>
        <w:rPr>
          <w:rFonts w:ascii="Calibri" w:hAnsi="Calibri"/>
          <w:i/>
          <w:sz w:val="18"/>
        </w:rPr>
        <w:t>Determines whether the independent-development position rests on verified internal facts or on the 2022 marketing statement, because the answer governs how the position should be advanced going forward. If the support is thin, this interview is the opportunity to identify and commission the verification before the position is repeated in a pleading or a deposition, rather than discovering the gap during cross-examination.</w:t>
      </w:r>
    </w:p>
    <w:p>
      <w:pPr>
        <w:spacing w:before="120" w:after="40"/>
        <w:ind w:left="259"/>
      </w:pPr>
      <w:r>
        <w:rPr>
          <w:rFonts w:ascii="Calibri" w:hAnsi="Calibri"/>
          <w:b/>
          <w:i w:val="0"/>
          <w:sz w:val="20"/>
        </w:rPr>
        <w:t>Q-C6.  The April 5, 2024 response also states that Meridian "maintains robust internal compliance processes designed to safeguard against the unauthorized use of third-party intellectual property." Describe those processes as they existed when PathForge was being developed in 2018-2021, and separately as they exist today.</w:t>
      </w:r>
    </w:p>
    <w:p>
      <w:pPr>
        <w:spacing w:after="40"/>
        <w:ind w:left="518"/>
        <w:jc w:val="both"/>
      </w:pPr>
      <w:r>
        <w:rPr>
          <w:rFonts w:ascii="Calibri" w:hAnsi="Calibri"/>
          <w:b/>
          <w:i/>
          <w:sz w:val="18"/>
        </w:rPr>
        <w:t xml:space="preserve">Source: </w:t>
      </w:r>
      <w:r>
        <w:rPr>
          <w:rFonts w:ascii="Calibri" w:hAnsi="Calibri"/>
          <w:i/>
          <w:sz w:val="18"/>
        </w:rPr>
        <w:t>meridian-cd-response.docx para. 11 (the compliance representation); pathforge-whitepaper-excerpt.docx, Section 7.1 (modules "independently developed, independently deployable, and independently priced") and Section 7.2 final paragraph (independent development assertion); holt-eciaa-agreement.docx, Sections 4.2 (approval requirement for personal storage devices), 5.1 (invention disclosure) and 5.4 (works made for hire) as examples of the control categories such a program would cover.</w:t>
      </w:r>
    </w:p>
    <w:p>
      <w:pPr>
        <w:spacing w:after="100"/>
        <w:ind w:left="518"/>
        <w:jc w:val="both"/>
      </w:pPr>
      <w:r>
        <w:rPr>
          <w:rFonts w:ascii="Calibri" w:hAnsi="Calibri"/>
          <w:b/>
          <w:i/>
          <w:sz w:val="18"/>
        </w:rPr>
        <w:t xml:space="preserve">Evidentiary purpose: </w:t>
      </w:r>
      <w:r>
        <w:rPr>
          <w:rFonts w:ascii="Calibri" w:hAnsi="Calibri"/>
          <w:i/>
          <w:sz w:val="18"/>
        </w:rPr>
        <w:t>Separates the compliance program as it existed during the accused development period from the program as it exists now, because present-tense processes cannot establish past conduct and a representation that conflates the two is vulnerable. The answer also identifies the policies, training records and onboarding materials that would substantiate the representation, which should be collected and reviewed before the representation is relied on again.</w:t>
      </w:r>
    </w:p>
    <w:p>
      <w:pPr>
        <w:spacing w:before="120" w:after="40"/>
        <w:ind w:left="259"/>
      </w:pPr>
      <w:r>
        <w:rPr>
          <w:rFonts w:ascii="Calibri" w:hAnsi="Calibri"/>
          <w:b/>
          <w:i w:val="0"/>
          <w:sz w:val="20"/>
        </w:rPr>
        <w:t>Q-C7.  Meridian declined to provide access to its source code repositories for the forensic audit SkyVault demanded. Describe the factual and operational reasons for that position as you understood them at the time.</w:t>
      </w:r>
    </w:p>
    <w:p>
      <w:pPr>
        <w:spacing w:after="40"/>
        <w:ind w:left="518"/>
        <w:jc w:val="both"/>
      </w:pPr>
      <w:r>
        <w:rPr>
          <w:rFonts w:ascii="Calibri" w:hAnsi="Calibri"/>
          <w:b/>
          <w:i/>
          <w:sz w:val="18"/>
        </w:rPr>
        <w:t xml:space="preserve">Source: </w:t>
      </w:r>
      <w:r>
        <w:rPr>
          <w:rFonts w:ascii="Calibri" w:hAnsi="Calibri"/>
          <w:i/>
          <w:sz w:val="18"/>
        </w:rPr>
        <w:t>meridian-cd-response.docx para. 15 (declining "to provide access to its proprietary source code repositories for any forensic audit or inspection," stating that such a demand "is premature, overbroad, and without legal basis outside of formal litigation with appropriate protective measures in place"); skyvault-complaint.docx para. 61(iii) (demanding "a full forensic audit of Meridian's source code repositories to determine the extent of Meridian's misappropriation and infringement").</w:t>
      </w:r>
    </w:p>
    <w:p>
      <w:pPr>
        <w:spacing w:after="100"/>
        <w:ind w:left="518"/>
        <w:jc w:val="both"/>
      </w:pPr>
      <w:r>
        <w:rPr>
          <w:rFonts w:ascii="Calibri" w:hAnsi="Calibri"/>
          <w:b/>
          <w:i/>
          <w:sz w:val="18"/>
        </w:rPr>
        <w:t xml:space="preserve">Evidentiary purpose: </w:t>
      </w:r>
      <w:r>
        <w:rPr>
          <w:rFonts w:ascii="Calibri" w:hAnsi="Calibri"/>
          <w:i/>
          <w:sz w:val="18"/>
        </w:rPr>
        <w:t>Establishes the factual basis for the refusal so that Meridian can articulate a consistent and defensible position on code production in litigation — ideally a proportionate production under a protective order rather than a blanket refusal. The interview should identify the confidentiality, trade secret and customer-data concerns that motivated the position, because those same concerns will shape any negotiated protocol and are legitimate, non-privileged business justifications.</w:t>
      </w:r>
    </w:p>
    <w:p>
      <w:pPr>
        <w:spacing w:before="120" w:after="40"/>
        <w:ind w:left="259"/>
      </w:pPr>
      <w:r>
        <w:rPr>
          <w:rFonts w:ascii="Calibri" w:hAnsi="Calibri"/>
          <w:b/>
          <w:i w:val="0"/>
          <w:sz w:val="20"/>
        </w:rPr>
        <w:t>Q-C8.  Who at Meridian was authorized to speak about the allegations, and what instruction, if any, was given to employees about communications on the subject?</w:t>
      </w:r>
    </w:p>
    <w:p>
      <w:pPr>
        <w:spacing w:after="40"/>
        <w:ind w:left="518"/>
        <w:jc w:val="both"/>
      </w:pPr>
      <w:r>
        <w:rPr>
          <w:rFonts w:ascii="Calibri" w:hAnsi="Calibri"/>
          <w:b/>
          <w:i/>
          <w:sz w:val="18"/>
        </w:rPr>
        <w:t xml:space="preserve">Source: </w:t>
      </w:r>
      <w:r>
        <w:rPr>
          <w:rFonts w:ascii="Calibri" w:hAnsi="Calibri"/>
          <w:i/>
          <w:sz w:val="18"/>
        </w:rPr>
        <w:t>meridian-cd-response.docx para. 18 (request that SkyVault and its counsel "refrain from contacting Meridian's officers and employees directly regarding these allegations" and that all future communications be directed to Brackwell &amp; Haines, and the request that future correspondence include the reference "Meridian Dynamics, Inc. — SkyVault IP Matter"); meridian-cd-response.docx, first paragraph (the firm writes on behalf of Meridian and its officers and directors) and cc line (Jordan Kessler, VP of Legal).</w:t>
      </w:r>
    </w:p>
    <w:p>
      <w:pPr>
        <w:spacing w:after="100"/>
        <w:ind w:left="518"/>
        <w:jc w:val="both"/>
      </w:pPr>
      <w:r>
        <w:rPr>
          <w:rFonts w:ascii="Calibri" w:hAnsi="Calibri"/>
          <w:b/>
          <w:i/>
          <w:sz w:val="18"/>
        </w:rPr>
        <w:t xml:space="preserve">Evidentiary purpose: </w:t>
      </w:r>
      <w:r>
        <w:rPr>
          <w:rFonts w:ascii="Calibri" w:hAnsi="Calibri"/>
          <w:i/>
          <w:sz w:val="18"/>
        </w:rPr>
        <w:t>Identifies the custodians of responsive communications and the scope of any communication restriction, which is relevant both to preservation and to the practical conduct of further interviews. The question is framed around who was authorized to speak and what instruction was given as a business fact, and does not ask what legal advice motivated the instruction.</w:t>
      </w:r>
    </w:p>
    <w:p>
      <w:pPr>
        <w:spacing w:before="120" w:after="40"/>
        <w:ind w:left="259"/>
      </w:pPr>
      <w:r>
        <w:rPr>
          <w:rFonts w:ascii="Calibri" w:hAnsi="Calibri"/>
          <w:b/>
          <w:i w:val="0"/>
          <w:sz w:val="20"/>
        </w:rPr>
        <w:t>Q-C9.  Identify the documents Meridian holds that are responsive to the categories SkyVault identified — the three asserted patents, the AeroCore firmware, the trade secret categories TS-1 through TS-5, and the ECIAA — and tell me where each category of document is likely to reside.</w:t>
      </w:r>
    </w:p>
    <w:p>
      <w:pPr>
        <w:spacing w:after="40"/>
        <w:ind w:left="518"/>
        <w:jc w:val="both"/>
      </w:pPr>
      <w:r>
        <w:rPr>
          <w:rFonts w:ascii="Calibri" w:hAnsi="Calibri"/>
          <w:b/>
          <w:i/>
          <w:sz w:val="18"/>
        </w:rPr>
        <w:t xml:space="preserve">Source: </w:t>
      </w:r>
      <w:r>
        <w:rPr>
          <w:rFonts w:ascii="Calibri" w:hAnsi="Calibri"/>
          <w:i/>
          <w:sz w:val="18"/>
        </w:rPr>
        <w:t>skyvault-complaint.docx paras. 27-31 (the three asserted patents, their filing and issuance dates and named inventors), paras. 33 and 116 (the AeroCore source files `navfusion.c`, `pathoptengine.h` and `swarm_proto.cpp`), para. 35 (copyright registration TX 9-142-338 issued April 3, 2023 for "AeroCore Firmware Suite v2.0"), paras. 38 and 91 (trade secret categories TS-1 sensor fusion algorithms, TS-2 flight path optimization models, TS-3 customer lists and pricing strategies, TS-4 swarm communication protocols, TS-5 LiDAR hardware integration specifications), and paras. 45-46 (the ECIAA dated June 13, 2016 and its Sections 3, 5 and 7); meridian-cd-response.docx para. 10 (Meridian has "reviewed the three United States patents identified in your letter").</w:t>
      </w:r>
    </w:p>
    <w:p>
      <w:pPr>
        <w:spacing w:after="100"/>
        <w:ind w:left="518"/>
        <w:jc w:val="both"/>
      </w:pPr>
      <w:r>
        <w:rPr>
          <w:rFonts w:ascii="Calibri" w:hAnsi="Calibri"/>
          <w:b/>
          <w:i/>
          <w:sz w:val="18"/>
        </w:rPr>
        <w:t xml:space="preserve">Evidentiary purpose: </w:t>
      </w:r>
      <w:r>
        <w:rPr>
          <w:rFonts w:ascii="Calibri" w:hAnsi="Calibri"/>
          <w:i/>
          <w:sz w:val="18"/>
        </w:rPr>
        <w:t>Converts the Complaint's allegations into a document-collection map keyed to the systems and custodians where responsive material would actually be found. This is the practical bridge between the interview round and any negotiated discovery or protective-order production, and it identifies the technical witnesses and repositories that should be searched for each category.</w:t>
      </w:r>
    </w:p>
    <w:p>
      <w:pPr>
        <w:spacing w:before="120" w:after="40"/>
        <w:ind w:left="259"/>
      </w:pPr>
      <w:r>
        <w:rPr>
          <w:rFonts w:ascii="Calibri" w:hAnsi="Calibri"/>
          <w:b/>
          <w:i w:val="0"/>
          <w:sz w:val="20"/>
        </w:rPr>
        <w:t>Q-C10.  Describe Meridian's litigation hold and preservation practices as a general matter, and identify the written policy or policies that govern them.</w:t>
      </w:r>
    </w:p>
    <w:p>
      <w:pPr>
        <w:spacing w:after="40"/>
        <w:ind w:left="518"/>
        <w:jc w:val="both"/>
      </w:pPr>
      <w:r>
        <w:rPr>
          <w:rFonts w:ascii="Calibri" w:hAnsi="Calibri"/>
          <w:b/>
          <w:i/>
          <w:sz w:val="18"/>
        </w:rPr>
        <w:t xml:space="preserve">Source: </w:t>
      </w:r>
      <w:r>
        <w:rPr>
          <w:rFonts w:ascii="Calibri" w:hAnsi="Calibri"/>
          <w:i/>
          <w:sz w:val="18"/>
        </w:rPr>
        <w:t>meridian-cd-response.docx para. 16 (reservation of all rights, claims and defenses available at law or in equity); meridian-cd-response.docx para. 11 (the compliance representation, as a related category of internal process); exhibit-f-forensic-log.xlsx, Row #40 ("IT to preserve all logs and endpoint data per litigation hold") and Row #49 (workstation secured in IT evidence storage) as comparators for documented preservation practice.</w:t>
      </w:r>
    </w:p>
    <w:p>
      <w:pPr>
        <w:spacing w:after="100"/>
        <w:ind w:left="518"/>
        <w:jc w:val="both"/>
      </w:pPr>
      <w:r>
        <w:rPr>
          <w:rFonts w:ascii="Calibri" w:hAnsi="Calibri"/>
          <w:b/>
          <w:i/>
          <w:sz w:val="18"/>
        </w:rPr>
        <w:t xml:space="preserve">Evidentiary purpose: </w:t>
      </w:r>
      <w:r>
        <w:rPr>
          <w:rFonts w:ascii="Calibri" w:hAnsi="Calibri"/>
          <w:i/>
          <w:sz w:val="18"/>
        </w:rPr>
        <w:t>Establishes the written standard against which Meridian's actual conduct can be measured, which is a necessary predicate to any later defense of the preservation record. A written policy that was followed is a strong answer; the absence of one is a fact counsel needs to know now rather than in a sanctions motion.</w:t>
      </w:r>
    </w:p>
    <w:p>
      <w:pPr>
        <w:spacing w:before="120" w:after="40"/>
        <w:ind w:left="259"/>
      </w:pPr>
      <w:r>
        <w:rPr>
          <w:rFonts w:ascii="Calibri" w:hAnsi="Calibri"/>
          <w:b/>
          <w:i w:val="0"/>
          <w:sz w:val="20"/>
        </w:rPr>
        <w:t>Q-C11.  Who else at Meridian has factual knowledge of the matters in the March 2024 letter — for example, the CEO, the engineering leads, IT, or HR — and what did each of them do in response?</w:t>
      </w:r>
    </w:p>
    <w:p>
      <w:pPr>
        <w:spacing w:after="40"/>
        <w:ind w:left="518"/>
        <w:jc w:val="both"/>
      </w:pPr>
      <w:r>
        <w:rPr>
          <w:rFonts w:ascii="Calibri" w:hAnsi="Calibri"/>
          <w:b/>
          <w:i/>
          <w:sz w:val="18"/>
        </w:rPr>
        <w:t xml:space="preserve">Source: </w:t>
      </w:r>
      <w:r>
        <w:rPr>
          <w:rFonts w:ascii="Calibri" w:hAnsi="Calibri"/>
          <w:i/>
          <w:sz w:val="18"/>
        </w:rPr>
        <w:t>skyvault-complaint.docx para. 61 (the March 12, 2024 letter addressed to Priya Chandrasekaran, CEO, at Meridian's Austin headquarters) and para. 10 (Meridian co-founded by CEO Priya Chandrasekaran and CTO Dr. Marcus Holt); meridian-cd-response.docx, first paragraph (the response is written "on behalf of Meridian and its officers and directors") and cc line (Jordan Kessler, VP of Legal, via email).</w:t>
      </w:r>
    </w:p>
    <w:p>
      <w:pPr>
        <w:spacing w:after="100"/>
        <w:ind w:left="518"/>
        <w:jc w:val="both"/>
      </w:pPr>
      <w:r>
        <w:rPr>
          <w:rFonts w:ascii="Calibri" w:hAnsi="Calibri"/>
          <w:b/>
          <w:i/>
          <w:sz w:val="18"/>
        </w:rPr>
        <w:t xml:space="preserve">Evidentiary purpose: </w:t>
      </w:r>
      <w:r>
        <w:rPr>
          <w:rFonts w:ascii="Calibri" w:hAnsi="Calibri"/>
          <w:i/>
          <w:sz w:val="18"/>
        </w:rPr>
        <w:t>Identifies the remaining custodians and witnesses so that preservation, collection and interview sequencing can be completed without gaps. It also clarifies which non-lawyer custodians hold documents that are plainly discoverable, so that the privilege analysis in Track 2 can be confined to the genuinely protected communications.</w:t>
      </w:r>
    </w:p>
    <w:p>
      <w:pPr>
        <w:spacing w:before="120" w:after="40"/>
        <w:ind w:left="259"/>
      </w:pPr>
      <w:r>
        <w:rPr>
          <w:rFonts w:ascii="Calibri" w:hAnsi="Calibri"/>
          <w:b/>
          <w:i w:val="0"/>
          <w:sz w:val="20"/>
        </w:rPr>
        <w:t>Q-C12.  Was any internal investigation, factual review or technical assessment commissioned after March 2024, and if so, who conducted it, what was it asked to determine, and what did it produce?</w:t>
      </w:r>
    </w:p>
    <w:p>
      <w:pPr>
        <w:spacing w:after="40"/>
        <w:ind w:left="518"/>
        <w:jc w:val="both"/>
      </w:pPr>
      <w:r>
        <w:rPr>
          <w:rFonts w:ascii="Calibri" w:hAnsi="Calibri"/>
          <w:b/>
          <w:i/>
          <w:sz w:val="18"/>
        </w:rPr>
        <w:t xml:space="preserve">Source: </w:t>
      </w:r>
      <w:r>
        <w:rPr>
          <w:rFonts w:ascii="Calibri" w:hAnsi="Calibri"/>
          <w:i/>
          <w:sz w:val="18"/>
        </w:rPr>
        <w:t>meridian-cd-response.docx paras. 10-11 (Meridian states it has "reviewed the three United States patents identified in your letter" and denies the infringement, trade secret and copyright allegations in their entirety) and para. 15 (declining the source-code audit demand); skyvault-complaint.docx para. 61 (the audit demand that prompted the review) and para. 62 (the April 5, 2024 response).</w:t>
      </w:r>
    </w:p>
    <w:p>
      <w:pPr>
        <w:spacing w:after="100"/>
        <w:ind w:left="518"/>
        <w:jc w:val="both"/>
      </w:pPr>
      <w:r>
        <w:rPr>
          <w:rFonts w:ascii="Calibri" w:hAnsi="Calibri"/>
          <w:b/>
          <w:i/>
          <w:sz w:val="18"/>
        </w:rPr>
        <w:t xml:space="preserve">Evidentiary purpose: </w:t>
      </w:r>
      <w:r>
        <w:rPr>
          <w:rFonts w:ascii="Calibri" w:hAnsi="Calibri"/>
          <w:i/>
          <w:sz w:val="18"/>
        </w:rPr>
        <w:t>Establishes the existence, authorship and custody of any internal assessment, which is a threshold fact for the privilege analysis in Track 2 and for determining whether the assessment is a business review, an attorney-directed work-product analysis, or both. The question asks only what was commissioned and produced as a factual matter; the content and protection of the assessment are addressed in Track 2.</w:t>
      </w:r>
    </w:p>
    <w:p>
      <w:pPr>
        <w:keepNext/>
        <w:spacing w:before="220" w:after="80"/>
      </w:pPr>
      <w:r>
        <w:rPr>
          <w:rFonts w:ascii="Calibri" w:hAnsi="Calibri"/>
          <w:b/>
          <w:color w:val="1F3E6B"/>
          <w:sz w:val="21"/>
        </w:rPr>
        <w:t>C.2 — TRACK 2: THE PRIVILEGE AND WORK-PRODUCT BOUNDARY</w:t>
      </w:r>
    </w:p>
    <w:p>
      <w:pPr>
        <w:spacing w:after="120"/>
        <w:jc w:val="both"/>
      </w:pPr>
      <w:r>
        <w:rPr>
          <w:rFonts w:ascii="Calibri" w:hAnsi="Calibri"/>
          <w:b w:val="0"/>
          <w:i w:val="0"/>
          <w:sz w:val="20"/>
        </w:rPr>
        <w:t>Counsel should open Track 2 by stating, on the record, that the discussion is for the purpose of obtaining legal advice and identifying protected material, and should document that statement. The questions below are designed to separate discoverable factual events from communications, legal opinions and attorney mental impressions that may be protected. Track 2 should not be conducted until Track 1 is complete.</w:t>
      </w:r>
    </w:p>
    <w:p>
      <w:pPr>
        <w:spacing w:before="120" w:after="40"/>
        <w:ind w:left="259"/>
      </w:pPr>
      <w:r>
        <w:rPr>
          <w:rFonts w:ascii="Calibri" w:hAnsi="Calibri"/>
          <w:b/>
          <w:i w:val="0"/>
          <w:sz w:val="20"/>
        </w:rPr>
        <w:t>Q-C13.  For the March-April 2024 period, identify by date, sender, recipient and subject matter the communications that were made for the purpose of obtaining or providing legal advice, and identify separately the communications that were ordinary business communications about the same events.</w:t>
      </w:r>
    </w:p>
    <w:p>
      <w:pPr>
        <w:spacing w:after="40"/>
        <w:ind w:left="518"/>
        <w:jc w:val="both"/>
      </w:pPr>
      <w:r>
        <w:rPr>
          <w:rFonts w:ascii="Calibri" w:hAnsi="Calibri"/>
          <w:b/>
          <w:i/>
          <w:sz w:val="18"/>
        </w:rPr>
        <w:t xml:space="preserve">Source: </w:t>
      </w:r>
      <w:r>
        <w:rPr>
          <w:rFonts w:ascii="Calibri" w:hAnsi="Calibri"/>
          <w:i/>
          <w:sz w:val="18"/>
        </w:rPr>
        <w:t>meridian-cd-response.docx, first paragraph (Brackwell &amp; Haines writes "on behalf of Meridian and its officers and directors" and the letter is expressly "without waiver of any rights, claims, or defenses") and para. 17 (Meridian offers to engage in good-faith discussions "on a without-prejudice basis and subject to applicable rules governing settlement communications"); meridian-cd-response.docx, cc line (Jordan Kessler, VP of Legal, via email) as the in-house legal recipient whose communications span both categories.</w:t>
      </w:r>
    </w:p>
    <w:p>
      <w:pPr>
        <w:spacing w:after="100"/>
        <w:ind w:left="518"/>
        <w:jc w:val="both"/>
      </w:pPr>
      <w:r>
        <w:rPr>
          <w:rFonts w:ascii="Calibri" w:hAnsi="Calibri"/>
          <w:b/>
          <w:i/>
          <w:sz w:val="18"/>
        </w:rPr>
        <w:t xml:space="preserve">Evidentiary purpose: </w:t>
      </w:r>
      <w:r>
        <w:rPr>
          <w:rFonts w:ascii="Calibri" w:hAnsi="Calibri"/>
          <w:i/>
          <w:sz w:val="18"/>
        </w:rPr>
        <w:t>Constructs the privilege log architecture before any production is negotiated, and identifies the line between legal advice and business conduct. The distinction matters because the underlying events — receipt of the letter, the decision to retain counsel, the decision to decline the audit demand, the offer to negotiate — are discoverable, while the advice about them may not be. This question is the foundation for every privilege assertion Meridian will make in this matter.</w:t>
      </w:r>
    </w:p>
    <w:p>
      <w:pPr>
        <w:spacing w:before="120" w:after="40"/>
        <w:ind w:left="259"/>
      </w:pPr>
      <w:r>
        <w:rPr>
          <w:rFonts w:ascii="Calibri" w:hAnsi="Calibri"/>
          <w:b/>
          <w:i w:val="0"/>
          <w:sz w:val="20"/>
        </w:rPr>
        <w:t>Q-C14.  Identify any documents created in anticipation of litigation — analyses, chronologies, technical reviews, claim assessments, damages models, interview memoranda — and tell me who created each, when, at whose direction, and for what purpose.</w:t>
      </w:r>
    </w:p>
    <w:p>
      <w:pPr>
        <w:spacing w:after="40"/>
        <w:ind w:left="518"/>
        <w:jc w:val="both"/>
      </w:pPr>
      <w:r>
        <w:rPr>
          <w:rFonts w:ascii="Calibri" w:hAnsi="Calibri"/>
          <w:b/>
          <w:i/>
          <w:sz w:val="18"/>
        </w:rPr>
        <w:t xml:space="preserve">Source: </w:t>
      </w:r>
      <w:r>
        <w:rPr>
          <w:rFonts w:ascii="Calibri" w:hAnsi="Calibri"/>
          <w:i/>
          <w:sz w:val="18"/>
        </w:rPr>
        <w:t>meridian-cd-response.docx para. 16 (Meridian expressly reserves "all rights, claims, and defenses available to it at law or in equity, including but not limited to defenses of non-infringement, invalidity, unenforceability, independent development" and reserves the right to seek fees "in the event that any litigation is initiated"); skyvault-complaint.docx para. 61(iii) (the demand for a forensic audit) and para. 63 (alleging willful infringement after notice).</w:t>
      </w:r>
    </w:p>
    <w:p>
      <w:pPr>
        <w:spacing w:after="100"/>
        <w:ind w:left="518"/>
        <w:jc w:val="both"/>
      </w:pPr>
      <w:r>
        <w:rPr>
          <w:rFonts w:ascii="Calibri" w:hAnsi="Calibri"/>
          <w:b/>
          <w:i/>
          <w:sz w:val="18"/>
        </w:rPr>
        <w:t xml:space="preserve">Evidentiary purpose: </w:t>
      </w:r>
      <w:r>
        <w:rPr>
          <w:rFonts w:ascii="Calibri" w:hAnsi="Calibri"/>
          <w:i/>
          <w:sz w:val="18"/>
        </w:rPr>
        <w:t>Identifies work-product material by document, author, date and direction so that protection can be asserted and maintained. Documents created because of anticipated litigation are treated differently from documents created in the ordinary course, and the distinction can only be drawn if the creating circumstances are documented now, while the authors are available and before any production is discussed.</w:t>
      </w:r>
    </w:p>
    <w:p>
      <w:pPr>
        <w:spacing w:before="120" w:after="40"/>
        <w:ind w:left="259"/>
      </w:pPr>
      <w:r>
        <w:rPr>
          <w:rFonts w:ascii="Calibri" w:hAnsi="Calibri"/>
          <w:b/>
          <w:i w:val="0"/>
          <w:sz w:val="20"/>
        </w:rPr>
        <w:t>Q-C15.  Describe how Meridian handles dual-purpose documents — material that contains both business content and legal advice — and how such documents have historically been treated in any production.</w:t>
      </w:r>
    </w:p>
    <w:p>
      <w:pPr>
        <w:spacing w:after="40"/>
        <w:ind w:left="518"/>
        <w:jc w:val="both"/>
      </w:pPr>
      <w:r>
        <w:rPr>
          <w:rFonts w:ascii="Calibri" w:hAnsi="Calibri"/>
          <w:b/>
          <w:i/>
          <w:sz w:val="18"/>
        </w:rPr>
        <w:t xml:space="preserve">Source: </w:t>
      </w:r>
      <w:r>
        <w:rPr>
          <w:rFonts w:ascii="Calibri" w:hAnsi="Calibri"/>
          <w:i/>
          <w:sz w:val="18"/>
        </w:rPr>
        <w:t>meridian-cd-response.docx paras. 10-16 (a single letter that mixes factual denials, legal positions on non-infringement, invalidity and unenforceability, and business decisions to decline the cessation, payment and audit demands) and para. 11 (the compliance representation, which is a business fact); meridian-cd-response.docx, first paragraph (the express "without waiver" and "no admission" language).</w:t>
      </w:r>
    </w:p>
    <w:p>
      <w:pPr>
        <w:spacing w:after="100"/>
        <w:ind w:left="518"/>
        <w:jc w:val="both"/>
      </w:pPr>
      <w:r>
        <w:rPr>
          <w:rFonts w:ascii="Calibri" w:hAnsi="Calibri"/>
          <w:b/>
          <w:i/>
          <w:sz w:val="18"/>
        </w:rPr>
        <w:t xml:space="preserve">Evidentiary purpose: </w:t>
      </w:r>
      <w:r>
        <w:rPr>
          <w:rFonts w:ascii="Calibri" w:hAnsi="Calibri"/>
          <w:i/>
          <w:sz w:val="18"/>
        </w:rPr>
        <w:t>Establishes a consistent and defensible approach to mixed documents before a production protocol is negotiated, and reduces the risk of inadvertent waiver. The April 5 Response is itself an example of a dual-purpose document, which makes it a useful concrete reference point for testing whether Meridian's stated practice matches how it actually handles such material.</w:t>
      </w:r>
    </w:p>
    <w:p>
      <w:pPr>
        <w:spacing w:before="120" w:after="40"/>
        <w:ind w:left="259"/>
      </w:pPr>
      <w:r>
        <w:rPr>
          <w:rFonts w:ascii="Calibri" w:hAnsi="Calibri"/>
          <w:b/>
          <w:i w:val="0"/>
          <w:sz w:val="20"/>
        </w:rPr>
        <w:t>Q-C16.  Which third parties — outside counsel, forensic vendors, consultants, insurers, auditors — have received Meridian information about these allegations, and under what terms?</w:t>
      </w:r>
    </w:p>
    <w:p>
      <w:pPr>
        <w:spacing w:after="40"/>
        <w:ind w:left="518"/>
        <w:jc w:val="both"/>
      </w:pPr>
      <w:r>
        <w:rPr>
          <w:rFonts w:ascii="Calibri" w:hAnsi="Calibri"/>
          <w:b/>
          <w:i/>
          <w:sz w:val="18"/>
        </w:rPr>
        <w:t xml:space="preserve">Source: </w:t>
      </w:r>
      <w:r>
        <w:rPr>
          <w:rFonts w:ascii="Calibri" w:hAnsi="Calibri"/>
          <w:i/>
          <w:sz w:val="18"/>
        </w:rPr>
        <w:t>meridian-cd-response.docx, letterhead and signature block (Brackwell &amp; Haines LLP as outside counsel) and cc line (Jordan Kessler, VP of Legal); meridian-cd-response.docx para. 15 (declining a third-party forensic audit of Meridian's repositories); exhibit-f-forensic-log.xlsx, Row #45 (on the SkyVault side, "Hargrove Forensics Group engaged per counsel authorization") and "Report Metadata" sheet (Prepared By: Hargrove Forensics Group; Prepared For: Callister, Voss &amp; Greenbaum LLP) as a comparator showing how a retained-vendor relationship was documented on the other side.</w:t>
      </w:r>
    </w:p>
    <w:p>
      <w:pPr>
        <w:spacing w:after="100"/>
        <w:ind w:left="518"/>
        <w:jc w:val="both"/>
      </w:pPr>
      <w:r>
        <w:rPr>
          <w:rFonts w:ascii="Calibri" w:hAnsi="Calibri"/>
          <w:b/>
          <w:i/>
          <w:sz w:val="18"/>
        </w:rPr>
        <w:t xml:space="preserve">Evidentiary purpose: </w:t>
      </w:r>
      <w:r>
        <w:rPr>
          <w:rFonts w:ascii="Calibri" w:hAnsi="Calibri"/>
          <w:i/>
          <w:sz w:val="18"/>
        </w:rPr>
        <w:t>Identifies the scope of any waiver risk from third-party disclosure and documents the vendor relationships that may support a Kovel-type or work-product argument. The Exhibit F metadata is cited as a comparator because it shows how the opposing party structured and documented its own forensic retention — including the designation "CONFIDENTIAL — ATTORNEY WORK PRODUCT / PREPARED IN ANTICIPATION OF LITIGATION" — which is a useful model for evaluating whether Meridian's own engagements are documented to the same standard.</w:t>
      </w:r>
    </w:p>
    <w:p>
      <w:pPr>
        <w:spacing w:before="120" w:after="40"/>
        <w:ind w:left="259"/>
      </w:pPr>
      <w:r>
        <w:rPr>
          <w:rFonts w:ascii="Calibri" w:hAnsi="Calibri"/>
          <w:b/>
          <w:i w:val="0"/>
          <w:sz w:val="20"/>
        </w:rPr>
        <w:t>Q-C17.  Has any Meridian employee been asked to prepare or provide a factual account of the PathForge development history, and if so, at whose direction and for what purpose?</w:t>
      </w:r>
    </w:p>
    <w:p>
      <w:pPr>
        <w:spacing w:after="40"/>
        <w:ind w:left="518"/>
        <w:jc w:val="both"/>
      </w:pPr>
      <w:r>
        <w:rPr>
          <w:rFonts w:ascii="Calibri" w:hAnsi="Calibri"/>
          <w:b/>
          <w:i/>
          <w:sz w:val="18"/>
        </w:rPr>
        <w:t xml:space="preserve">Source: </w:t>
      </w:r>
      <w:r>
        <w:rPr>
          <w:rFonts w:ascii="Calibri" w:hAnsi="Calibri"/>
          <w:i/>
          <w:sz w:val="18"/>
        </w:rPr>
        <w:t>meridian-cd-response.docx para. 11 (the independent-development representation, which presupposes some factual basis) and para. 16 (reservation of the independent-development defense); pathforge-whitepaper-excerpt.docx, Section 7.2 (the 2022 development timeline and the independent-development assertion, which is a public statement rather than a litigation-prepared account).</w:t>
      </w:r>
    </w:p>
    <w:p>
      <w:pPr>
        <w:spacing w:after="100"/>
        <w:ind w:left="518"/>
        <w:jc w:val="both"/>
      </w:pPr>
      <w:r>
        <w:rPr>
          <w:rFonts w:ascii="Calibri" w:hAnsi="Calibri"/>
          <w:b/>
          <w:i/>
          <w:sz w:val="18"/>
        </w:rPr>
        <w:t xml:space="preserve">Evidentiary purpose: </w:t>
      </w:r>
      <w:r>
        <w:rPr>
          <w:rFonts w:ascii="Calibri" w:hAnsi="Calibri"/>
          <w:i/>
          <w:sz w:val="18"/>
        </w:rPr>
        <w:t>Distinguishes witness-prepared factual chronologies, which are generally discoverable, from attorney-directed interview memoranda and analyses, which may be protected. Because the independent-development defense will depend on engineering testimony, it is important to know now whether any account has already been prepared, by whom, and at whose direction, so that the protection analysis can be performed before those accounts are relied upon.</w:t>
      </w:r>
    </w:p>
    <w:p>
      <w:pPr>
        <w:spacing w:before="120" w:after="40"/>
        <w:ind w:left="259"/>
      </w:pPr>
      <w:r>
        <w:rPr>
          <w:rFonts w:ascii="Calibri" w:hAnsi="Calibri"/>
          <w:b/>
          <w:i w:val="0"/>
          <w:sz w:val="20"/>
        </w:rPr>
        <w:t>Q-C18.  Finally, and for the purpose of designing this interview round: which of the topics in this memorandum can be asked of technical witnesses as ordinary business facts, and which require a lawyer present or should be reserved for counsel only?</w:t>
      </w:r>
    </w:p>
    <w:p>
      <w:pPr>
        <w:spacing w:after="40"/>
        <w:ind w:left="518"/>
        <w:jc w:val="both"/>
      </w:pPr>
      <w:r>
        <w:rPr>
          <w:rFonts w:ascii="Calibri" w:hAnsi="Calibri"/>
          <w:b/>
          <w:i/>
          <w:sz w:val="18"/>
        </w:rPr>
        <w:t xml:space="preserve">Source: </w:t>
      </w:r>
      <w:r>
        <w:rPr>
          <w:rFonts w:ascii="Calibri" w:hAnsi="Calibri"/>
          <w:i/>
          <w:sz w:val="18"/>
        </w:rPr>
        <w:t>meridian-cd-response.docx para. 18 (request that SkyVault direct all future communications to Brackwell &amp; Haines and refrain from contacting Meridian's officers and employees directly, and the request that correspondence carry the reference "Meridian Dynamics, Inc. — SkyVault IP Matter"); meridian-cd-response.docx, first paragraph (Brackwell &amp; Haines acts "on behalf of Meridian and its officers and directors").</w:t>
      </w:r>
    </w:p>
    <w:p>
      <w:pPr>
        <w:spacing w:after="100"/>
        <w:ind w:left="518"/>
        <w:jc w:val="both"/>
      </w:pPr>
      <w:r>
        <w:rPr>
          <w:rFonts w:ascii="Calibri" w:hAnsi="Calibri"/>
          <w:b/>
          <w:i/>
          <w:sz w:val="18"/>
        </w:rPr>
        <w:t xml:space="preserve">Evidentiary purpose: </w:t>
      </w:r>
      <w:r>
        <w:rPr>
          <w:rFonts w:ascii="Calibri" w:hAnsi="Calibri"/>
          <w:i/>
          <w:sz w:val="18"/>
        </w:rPr>
        <w:t>Uses the legal lead's vantage point to set the ground rules for the remaining interviews, which is the practical output of this memorandum. The answer determines who conducts each interview, what is documented, and what is kept out of the file, and it is the last question because it depends on the factual and privilege picture developed in every preceding question.</w:t>
      </w:r>
    </w:p>
    <w:p>
      <w:pPr>
        <w:keepNext/>
        <w:spacing w:before="280" w:after="100"/>
      </w:pPr>
      <w:r>
        <w:rPr>
          <w:rFonts w:ascii="Calibri" w:hAnsi="Calibri"/>
          <w:b/>
          <w:color w:val="142A4C"/>
          <w:sz w:val="25"/>
        </w:rPr>
        <w:t>VII. LEAD-FAMILY COVERAGE MATRIX</w:t>
      </w:r>
    </w:p>
    <w:p>
      <w:pPr>
        <w:spacing w:after="120"/>
        <w:jc w:val="both"/>
      </w:pPr>
      <w:r>
        <w:rPr>
          <w:rFonts w:ascii="Calibri" w:hAnsi="Calibri"/>
          <w:b w:val="0"/>
          <w:i w:val="0"/>
          <w:sz w:val="20"/>
        </w:rPr>
        <w:t>The following matrix shows where each of the six required lead families is developed in this outline. Every family is addressed in at least two witness categories so that no material proposition rests on a single source.</w:t>
      </w:r>
    </w:p>
    <w:p>
      <w:pPr>
        <w:keepNext/>
        <w:spacing w:before="280" w:after="100"/>
      </w:pPr>
      <w:r>
        <w:rPr>
          <w:rFonts w:ascii="Calibri" w:hAnsi="Calibri"/>
          <w:b/>
          <w:color w:val="142A4C"/>
          <w:sz w:val="25"/>
        </w:rPr>
        <w:t>VIII. WHAT THE FURNISHED MATERIALS DO NOT ESTABLISH: OPEN ITEMS TO BE CONFIRMED OR COLLECTED</w:t>
      </w:r>
    </w:p>
    <w:p>
      <w:pPr>
        <w:spacing w:after="120"/>
        <w:jc w:val="both"/>
      </w:pPr>
      <w:r>
        <w:rPr>
          <w:rFonts w:ascii="Calibri" w:hAnsi="Calibri"/>
          <w:b w:val="0"/>
          <w:i w:val="0"/>
          <w:sz w:val="20"/>
        </w:rPr>
        <w:t>The following categories of material were not furnished for this exercise. Each is treated above as an interview-confirmation or document-collection task and must not be recorded in the interview file as an established fact. The right-hand column identifies where the item is addressed in the outline.</w:t>
      </w:r>
    </w:p>
    <w:p>
      <w:pPr>
        <w:spacing w:after="120"/>
        <w:jc w:val="both"/>
      </w:pPr>
      <w:r>
        <w:rPr>
          <w:rFonts w:ascii="Calibri" w:hAnsi="Calibri"/>
          <w:b w:val="0"/>
          <w:i w:val="0"/>
          <w:sz w:val="20"/>
        </w:rPr>
        <w:t>One further limitation applies across the whole set: the Complaint's factual assertions about Meridian are pleaded on information and belief, and the April 5 Response's assertions are unsworn advocacy. Neither can be used internally as a finding. Where a question above appears to assume a fact, it is drafted to ask the witness to confirm or deny that fact, not to adopt it.</w:t>
      </w:r>
    </w:p>
    <w:p>
      <w:pPr>
        <w:keepNext/>
        <w:spacing w:before="280" w:after="100"/>
      </w:pPr>
      <w:r>
        <w:rPr>
          <w:rFonts w:ascii="Calibri" w:hAnsi="Calibri"/>
          <w:b/>
          <w:color w:val="142A4C"/>
          <w:sz w:val="25"/>
        </w:rPr>
        <w:t>IX. RECOMMENDED INTERVIEW SEQUENCE AND HOW IT TESTS LATER WITNESS ACCOUNTS</w:t>
      </w:r>
    </w:p>
    <w:p>
      <w:pPr>
        <w:spacing w:after="120"/>
        <w:jc w:val="both"/>
      </w:pPr>
      <w:r>
        <w:rPr>
          <w:rFonts w:ascii="Calibri" w:hAnsi="Calibri"/>
          <w:b w:val="0"/>
          <w:i w:val="0"/>
          <w:sz w:val="20"/>
        </w:rPr>
        <w:t>No single order is correct for every case, and the recommendation below should be revisited once the first two interviews are complete and once the initial document collections have been returned. The order that best fits the present record, the privilege posture and the available documents is as follows.</w:t>
      </w:r>
    </w:p>
    <w:p>
      <w:pPr>
        <w:spacing w:after="120"/>
        <w:jc w:val="both"/>
      </w:pPr>
      <w:r>
        <w:rPr>
          <w:rFonts w:ascii="Calibri" w:hAnsi="Calibri"/>
          <w:b w:val="0"/>
          <w:i w:val="0"/>
          <w:sz w:val="20"/>
        </w:rPr>
        <w:t>First: the Meridian legal lead, Track 1 only (Questions C-1 through C-12). This category should go first for three reasons. The legal lead can fix the discoverable chronology of the March-April 2024 response, which is the predicate for the willfulness allegations and the earliest-litigated preservation issues, and that chronology does not depend on any technical witness. The legal lead can also identify, before any other interview is scheduled, which Meridian personnel hold responsive documents and which have already been asked to prepare factual accounts — information that determines who else must be interviewed and in what order. Finally, Track 1 lets counsel map the privilege boundary from the inside before speaking to witnesses whose recollections could otherwise be shaped by an incomplete understanding of what is protected. Track 2 (Questions C-13 through C-18) should be completed with the same witness once Track 1 is documented, and before any technical interview is conducted.</w:t>
      </w:r>
    </w:p>
    <w:p>
      <w:pPr>
        <w:spacing w:after="120"/>
        <w:jc w:val="both"/>
      </w:pPr>
      <w:r>
        <w:rPr>
          <w:rFonts w:ascii="Calibri" w:hAnsi="Calibri"/>
          <w:b w:val="0"/>
          <w:i w:val="0"/>
          <w:sz w:val="20"/>
        </w:rPr>
        <w:t>Second: Dr. Holt (Questions A-1 through A-32), after the conflicts check described at Q-A7 has been completed. Holt should be second because he is the only witness who can provide the connecting account across all six lead families, and because his interview produces the specific document requests — repositories, design records, the F:\SkyVault_Export\ destination and the SanDisk device identifier from Exhibit F, and the white paper drafting file — that the technical interviews and the collections will then be organized around. Taking Holt's account second, while the legal lead's chronology is fresh, allows counsel to test his recollection of the 2024 correspondence against the documented routing chain rather than accepting it in isolation.</w:t>
      </w:r>
    </w:p>
    <w:p>
      <w:pPr>
        <w:spacing w:after="120"/>
        <w:jc w:val="both"/>
      </w:pPr>
      <w:r>
        <w:rPr>
          <w:rFonts w:ascii="Calibri" w:hAnsi="Calibri"/>
          <w:b w:val="0"/>
          <w:i w:val="0"/>
          <w:sz w:val="20"/>
        </w:rPr>
        <w:t>Third and subsequently: the Meridian technical team, module by module (Questions B-1 through B-15), beginning with the witness who worked on the module most directly implicated by the Complaint's claim charts. The technical interviews come last because they are the cross-check. By that point counsel will have the legal lead's document map, Holt's account, and the first returned collections, so each engineer can be asked to confirm or contradict a specific proposition rather than to reconstruct history from memory. The order within this category should follow the modules: multi-sensor fusion first, because the Complaint's '561 Patent claim chart is the most developed and the white paper's Section 3 is the most detailed; GPS-denied navigation and adaptive path optimization second, because that is where the DroneNav provenance question and the '227 Patent overlap; and swarm coordination third, because the white paper itself dates that module to 2019 with production deployment in 2021 and the '889 Patent was filed June 22, 2020, making its chronology the most easily tested against release records.</w:t>
      </w:r>
    </w:p>
    <w:p>
      <w:pPr>
        <w:spacing w:after="120"/>
        <w:jc w:val="both"/>
      </w:pPr>
      <w:r>
        <w:rPr>
          <w:rFonts w:ascii="Calibri" w:hAnsi="Calibri"/>
          <w:b w:val="0"/>
          <w:i w:val="0"/>
          <w:sz w:val="20"/>
        </w:rPr>
        <w:t>How this sequence tests later accounts. Sequencing the interviews this way turns each later interview into a verification step against an already-documented record. The legal lead's chronology is tested against Holt's recollection of the same events and against the written hold and routing records, so any divergence is visible immediately rather than at a deposition. Holt's account of what he took, retained and used (Q-A6, Q-A7, Q-A21, Q-A32) is tested against Exhibit F's row-level event data, against the SanDisk device identifier and the F:\SkyVault_Export\ destination path, and against the technical witnesses' systems-level answer at Q-B5. Holt's account of the PathForge starting point and timeline (Q-A10, Q-A15 to Q-A18) is tested against repository commit metadata, release records and the engineers' own module histories at Q-B1, Q-B2 and Q-B12 — records that were created contemporaneously and that do not depend on anyone's memory. The white paper's provenance claims (Q-A22 to Q-A28) are tested against the engineers' source-by-source answers at Q-B6 through Q-B9 and against the dependency and license records, which will show whether the four published references reflect actual use or only citation. And the independent-development and compliance representations in the April 5 Response (Q-C5, Q-C6) are tested last, against everything collected, so that Meridian knows before it repeats those representations in a filing whether they are supported, need qualification, or need to be withdrawn.</w:t>
      </w:r>
    </w:p>
    <w:p>
      <w:pPr>
        <w:spacing w:after="120"/>
        <w:jc w:val="both"/>
      </w:pPr>
      <w:r>
        <w:rPr>
          <w:rFonts w:ascii="Calibri" w:hAnsi="Calibri"/>
          <w:b w:val="0"/>
          <w:i w:val="0"/>
          <w:sz w:val="20"/>
        </w:rPr>
        <w:t>Two practical cautions apply to the sequence. First, if the legal lead's Track 1 answers show that preservation steps were incomplete or that responsive records have been lost, that issue should be addressed with counsel before any further interviews, because it changes the risk profile of every subsequent session. Second, if the technical interviews produce an account that differs materially from Holt's, counsel should not attempt to reconcile the two in the same session; the divergence should be documented and the affected questions re-asked after the records are collected.</w:t>
      </w:r>
    </w:p>
    <w:p>
      <w:pPr>
        <w:keepNext/>
        <w:spacing w:before="280" w:after="100"/>
      </w:pPr>
      <w:r>
        <w:rPr>
          <w:rFonts w:ascii="Calibri" w:hAnsi="Calibri"/>
          <w:b/>
          <w:color w:val="142A4C"/>
          <w:sz w:val="25"/>
        </w:rPr>
        <w:t>X. IMMEDIATE NEXT STEPS</w:t>
      </w:r>
    </w:p>
    <w:p>
      <w:pPr>
        <w:spacing w:after="120"/>
        <w:jc w:val="both"/>
      </w:pPr>
      <w:r>
        <w:rPr>
          <w:rFonts w:ascii="Calibri" w:hAnsi="Calibri"/>
          <w:b w:val="0"/>
          <w:i w:val="0"/>
          <w:sz w:val="20"/>
        </w:rPr>
        <w:t>1.  Complete a conflicts assessment covering Dr. Holt's dual status as a Meridian witness and a party to the ECIAA before scheduling his interview, and before the Q-A7 line of questioning on return and destruction obligations.</w:t>
      </w:r>
    </w:p>
    <w:p>
      <w:pPr>
        <w:spacing w:after="120"/>
        <w:jc w:val="both"/>
      </w:pPr>
      <w:r>
        <w:rPr>
          <w:rFonts w:ascii="Calibri" w:hAnsi="Calibri"/>
          <w:b w:val="0"/>
          <w:i w:val="0"/>
          <w:sz w:val="20"/>
        </w:rPr>
        <w:t>2.  Issue or confirm a written litigation hold covering the custodians and systems identified at Q-C3, Q-C9 and Q-C11, and collect the written hold notices and the preservation records.</w:t>
      </w:r>
    </w:p>
    <w:p>
      <w:pPr>
        <w:spacing w:after="120"/>
        <w:jc w:val="both"/>
      </w:pPr>
      <w:r>
        <w:rPr>
          <w:rFonts w:ascii="Calibri" w:hAnsi="Calibri"/>
          <w:b w:val="0"/>
          <w:i w:val="0"/>
          <w:sz w:val="20"/>
        </w:rPr>
        <w:t>3.  Collect, in parallel with the interviews rather than after them, the highest-value records: Meridian repository and commit metadata (Q-B3), design and test records for the three modules (Q-B2, Q-B9, Q-B10, Q-B11), release records (Q-B12), dependency and license inventory (Q-B8), Meridian's copy of the March 12, 2024 letter (Q-C1), and any internal assessment prepared after March 2024 (Q-C12).</w:t>
      </w:r>
    </w:p>
    <w:p>
      <w:pPr>
        <w:spacing w:after="120"/>
        <w:jc w:val="both"/>
      </w:pPr>
      <w:r>
        <w:rPr>
          <w:rFonts w:ascii="Calibri" w:hAnsi="Calibri"/>
          <w:b w:val="0"/>
          <w:i w:val="0"/>
          <w:sz w:val="20"/>
        </w:rPr>
        <w:t>4.  Preserve and, if it still exists, secure the SanDisk device identified in Exhibit F Row #34 and any successor media, and document chain of custody; this is the one physical item in the furnished record whose whereabouts are unknown and whose status materially affects both the breach-of-contract theory and any remediation proposal.</w:t>
      </w:r>
    </w:p>
    <w:p>
      <w:pPr>
        <w:spacing w:after="120"/>
        <w:jc w:val="both"/>
      </w:pPr>
      <w:r>
        <w:rPr>
          <w:rFonts w:ascii="Calibri" w:hAnsi="Calibri"/>
          <w:b w:val="0"/>
          <w:i w:val="0"/>
          <w:sz w:val="20"/>
        </w:rPr>
        <w:t>5.  Prepare, from the module-by-module repository map developed at Q-B3, a proportionate source-code production proposal to be offered under a protective order, so that Meridian's position on code production is affirmative rather than the blanket refusal recorded at April 5 Response para. 15.</w:t>
      </w:r>
    </w:p>
    <w:p>
      <w:pPr>
        <w:spacing w:after="120"/>
        <w:jc w:val="both"/>
      </w:pPr>
      <w:r>
        <w:rPr>
          <w:rFonts w:ascii="Calibri" w:hAnsi="Calibri"/>
          <w:b w:val="0"/>
          <w:i w:val="0"/>
          <w:sz w:val="20"/>
        </w:rPr>
        <w:t>6.  Do not repeat the independent-development or compliance representations from the April 5 Response in any filing or deposition until the verification tasks at Q-C5, Q-C6, Q-B8 and Q-B14 have been completed.</w:t>
      </w:r>
    </w:p>
    <w:p>
      <w:pPr>
        <w:spacing w:before="120" w:after="40"/>
        <w:jc w:val="center"/>
      </w:pPr>
      <w:r>
        <w:rPr>
          <w:rFonts w:ascii="Calibri" w:hAnsi="Calibri"/>
          <w:b w:val="0"/>
          <w:i/>
          <w:sz w:val="19"/>
        </w:rPr>
        <w:t>— End of memorandum —</w:t>
      </w:r>
    </w:p>
    <w:p>
      <w:pPr>
        <w:spacing w:before="120" w:after="40"/>
        <w:jc w:val="center"/>
      </w:pPr>
      <w:r>
        <w:rPr>
          <w:rFonts w:ascii="Calibri" w:hAnsi="Calibri"/>
          <w:b w:val="0"/>
          <w:i/>
          <w:sz w:val="19"/>
        </w:rPr>
        <w:t>Privileged and confidential. Attorney work product prepared in anticipation of litigation. Do not distribute, quote, or produce.</w:t>
      </w:r>
    </w:p>
    <w:p>
      <w:pPr>
        <w:spacing w:after="40"/>
      </w:pP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2952"/>
            <w:shd w:val="clear" w:color="auto" w:fill="1F3E6B"/>
          </w:tcPr>
          <w:p>
            <w:pPr>
              <w:spacing w:after="40" w:before="40"/>
            </w:pPr>
            <w:r/>
            <w:r>
              <w:rPr>
                <w:rFonts w:ascii="Calibri" w:hAnsi="Calibri"/>
                <w:b/>
                <w:color w:val="FFFFFF"/>
                <w:sz w:val="17"/>
              </w:rPr>
              <w:t>Lead family</w:t>
            </w:r>
          </w:p>
        </w:tc>
        <w:tc>
          <w:tcPr>
            <w:tcW w:type="dxa" w:w="2232"/>
            <w:shd w:val="clear" w:color="auto" w:fill="1F3E6B"/>
          </w:tcPr>
          <w:p>
            <w:pPr>
              <w:spacing w:after="40" w:before="40"/>
            </w:pPr>
            <w:r/>
            <w:r>
              <w:rPr>
                <w:rFonts w:ascii="Calibri" w:hAnsi="Calibri"/>
                <w:b/>
                <w:color w:val="FFFFFF"/>
                <w:sz w:val="17"/>
              </w:rPr>
              <w:t>Dr. Marcus Holt</w:t>
            </w:r>
          </w:p>
        </w:tc>
        <w:tc>
          <w:tcPr>
            <w:tcW w:type="dxa" w:w="2520"/>
            <w:shd w:val="clear" w:color="auto" w:fill="1F3E6B"/>
          </w:tcPr>
          <w:p>
            <w:pPr>
              <w:spacing w:after="40" w:before="40"/>
            </w:pPr>
            <w:r/>
            <w:r>
              <w:rPr>
                <w:rFonts w:ascii="Calibri" w:hAnsi="Calibri"/>
                <w:b/>
                <w:color w:val="FFFFFF"/>
                <w:sz w:val="17"/>
              </w:rPr>
              <w:t>Meridian technical team</w:t>
            </w:r>
          </w:p>
        </w:tc>
        <w:tc>
          <w:tcPr>
            <w:tcW w:type="dxa" w:w="2232"/>
            <w:shd w:val="clear" w:color="auto" w:fill="1F3E6B"/>
          </w:tcPr>
          <w:p>
            <w:pPr>
              <w:spacing w:after="40" w:before="40"/>
            </w:pPr>
            <w:r/>
            <w:r>
              <w:rPr>
                <w:rFonts w:ascii="Calibri" w:hAnsi="Calibri"/>
                <w:b/>
                <w:color w:val="FFFFFF"/>
                <w:sz w:val="17"/>
              </w:rPr>
              <w:t>Meridian legal lead</w:t>
            </w:r>
          </w:p>
        </w:tc>
      </w:tr>
      <w:tr>
        <w:tc>
          <w:tcPr>
            <w:tcW w:type="dxa" w:w="2952"/>
          </w:tcPr>
          <w:p>
            <w:pPr>
              <w:spacing w:after="40" w:before="40"/>
            </w:pPr>
            <w:r/>
            <w:r>
              <w:rPr>
                <w:rFonts w:ascii="Calibri" w:hAnsi="Calibri"/>
                <w:b/>
                <w:sz w:val="17"/>
              </w:rPr>
              <w:t>1. Holt's employment and access history</w:t>
            </w:r>
          </w:p>
        </w:tc>
        <w:tc>
          <w:tcPr>
            <w:tcW w:type="dxa" w:w="2232"/>
          </w:tcPr>
          <w:p>
            <w:pPr>
              <w:spacing w:after="40" w:before="40"/>
            </w:pPr>
            <w:r/>
            <w:r>
              <w:rPr>
                <w:rFonts w:ascii="Calibri" w:hAnsi="Calibri"/>
                <w:sz w:val="17"/>
              </w:rPr>
              <w:t>Q-A1 to Q-A10</w:t>
            </w:r>
          </w:p>
        </w:tc>
        <w:tc>
          <w:tcPr>
            <w:tcW w:type="dxa" w:w="2520"/>
          </w:tcPr>
          <w:p>
            <w:pPr>
              <w:spacing w:after="40" w:before="40"/>
            </w:pPr>
            <w:r/>
            <w:r>
              <w:rPr>
                <w:rFonts w:ascii="Calibri" w:hAnsi="Calibri"/>
                <w:sz w:val="17"/>
              </w:rPr>
              <w:t>Q-B1, Q-B13</w:t>
            </w:r>
          </w:p>
        </w:tc>
        <w:tc>
          <w:tcPr>
            <w:tcW w:type="dxa" w:w="2232"/>
          </w:tcPr>
          <w:p>
            <w:pPr>
              <w:spacing w:after="40" w:before="40"/>
            </w:pPr>
            <w:r/>
            <w:r>
              <w:rPr>
                <w:rFonts w:ascii="Calibri" w:hAnsi="Calibri"/>
                <w:sz w:val="17"/>
              </w:rPr>
              <w:t>Q-C9, Q-C11</w:t>
            </w:r>
          </w:p>
        </w:tc>
      </w:tr>
      <w:tr>
        <w:tc>
          <w:tcPr>
            <w:tcW w:type="dxa" w:w="2952"/>
            <w:shd w:val="clear" w:color="auto" w:fill="F2F5FA"/>
          </w:tcPr>
          <w:p>
            <w:pPr>
              <w:spacing w:after="40" w:before="40"/>
            </w:pPr>
            <w:r/>
            <w:r>
              <w:rPr>
                <w:rFonts w:ascii="Calibri" w:hAnsi="Calibri"/>
                <w:b/>
                <w:sz w:val="17"/>
              </w:rPr>
              <w:t>2. Holt's disclosed prior work</w:t>
            </w:r>
          </w:p>
        </w:tc>
        <w:tc>
          <w:tcPr>
            <w:tcW w:type="dxa" w:w="2232"/>
            <w:shd w:val="clear" w:color="auto" w:fill="F2F5FA"/>
          </w:tcPr>
          <w:p>
            <w:pPr>
              <w:spacing w:after="40" w:before="40"/>
            </w:pPr>
            <w:r/>
            <w:r>
              <w:rPr>
                <w:rFonts w:ascii="Calibri" w:hAnsi="Calibri"/>
                <w:sz w:val="17"/>
              </w:rPr>
              <w:t>Q-A11 to Q-A14</w:t>
            </w:r>
          </w:p>
        </w:tc>
        <w:tc>
          <w:tcPr>
            <w:tcW w:type="dxa" w:w="2520"/>
            <w:shd w:val="clear" w:color="auto" w:fill="F2F5FA"/>
          </w:tcPr>
          <w:p>
            <w:pPr>
              <w:spacing w:after="40" w:before="40"/>
            </w:pPr>
            <w:r/>
            <w:r>
              <w:rPr>
                <w:rFonts w:ascii="Calibri" w:hAnsi="Calibri"/>
                <w:sz w:val="17"/>
              </w:rPr>
              <w:t>Q-B2, Q-B13</w:t>
            </w:r>
          </w:p>
        </w:tc>
        <w:tc>
          <w:tcPr>
            <w:tcW w:type="dxa" w:w="2232"/>
            <w:shd w:val="clear" w:color="auto" w:fill="F2F5FA"/>
          </w:tcPr>
          <w:p>
            <w:pPr>
              <w:spacing w:after="40" w:before="40"/>
            </w:pPr>
            <w:r/>
            <w:r>
              <w:rPr>
                <w:rFonts w:ascii="Calibri" w:hAnsi="Calibri"/>
                <w:sz w:val="17"/>
              </w:rPr>
              <w:t>— (business records only; Q-C9)</w:t>
            </w:r>
          </w:p>
        </w:tc>
      </w:tr>
      <w:tr>
        <w:tc>
          <w:tcPr>
            <w:tcW w:type="dxa" w:w="2952"/>
          </w:tcPr>
          <w:p>
            <w:pPr>
              <w:spacing w:after="40" w:before="40"/>
            </w:pPr>
            <w:r/>
            <w:r>
              <w:rPr>
                <w:rFonts w:ascii="Calibri" w:hAnsi="Calibri"/>
                <w:b/>
                <w:sz w:val="17"/>
              </w:rPr>
              <w:t>3. PathForge development starting point</w:t>
            </w:r>
          </w:p>
        </w:tc>
        <w:tc>
          <w:tcPr>
            <w:tcW w:type="dxa" w:w="2232"/>
          </w:tcPr>
          <w:p>
            <w:pPr>
              <w:spacing w:after="40" w:before="40"/>
            </w:pPr>
            <w:r/>
            <w:r>
              <w:rPr>
                <w:rFonts w:ascii="Calibri" w:hAnsi="Calibri"/>
                <w:sz w:val="17"/>
              </w:rPr>
              <w:t>Q-A15 to Q-A21</w:t>
            </w:r>
          </w:p>
        </w:tc>
        <w:tc>
          <w:tcPr>
            <w:tcW w:type="dxa" w:w="2520"/>
          </w:tcPr>
          <w:p>
            <w:pPr>
              <w:spacing w:after="40" w:before="40"/>
            </w:pPr>
            <w:r/>
            <w:r>
              <w:rPr>
                <w:rFonts w:ascii="Calibri" w:hAnsi="Calibri"/>
                <w:sz w:val="17"/>
              </w:rPr>
              <w:t>Q-B1 to Q-B5, Q-B10 to Q-B12</w:t>
            </w:r>
          </w:p>
        </w:tc>
        <w:tc>
          <w:tcPr>
            <w:tcW w:type="dxa" w:w="2232"/>
          </w:tcPr>
          <w:p>
            <w:pPr>
              <w:spacing w:after="40" w:before="40"/>
            </w:pPr>
            <w:r/>
            <w:r>
              <w:rPr>
                <w:rFonts w:ascii="Calibri" w:hAnsi="Calibri"/>
                <w:sz w:val="17"/>
              </w:rPr>
              <w:t>Q-C5, Q-C12, Q-C17</w:t>
            </w:r>
          </w:p>
        </w:tc>
      </w:tr>
      <w:tr>
        <w:tc>
          <w:tcPr>
            <w:tcW w:type="dxa" w:w="2952"/>
            <w:shd w:val="clear" w:color="auto" w:fill="F2F5FA"/>
          </w:tcPr>
          <w:p>
            <w:pPr>
              <w:spacing w:after="40" w:before="40"/>
            </w:pPr>
            <w:r/>
            <w:r>
              <w:rPr>
                <w:rFonts w:ascii="Calibri" w:hAnsi="Calibri"/>
                <w:b/>
                <w:sz w:val="17"/>
              </w:rPr>
              <w:t>4. White paper title and authorship</w:t>
            </w:r>
          </w:p>
        </w:tc>
        <w:tc>
          <w:tcPr>
            <w:tcW w:type="dxa" w:w="2232"/>
            <w:shd w:val="clear" w:color="auto" w:fill="F2F5FA"/>
          </w:tcPr>
          <w:p>
            <w:pPr>
              <w:spacing w:after="40" w:before="40"/>
            </w:pPr>
            <w:r/>
            <w:r>
              <w:rPr>
                <w:rFonts w:ascii="Calibri" w:hAnsi="Calibri"/>
                <w:sz w:val="17"/>
              </w:rPr>
              <w:t>Q-A22 to Q-A25</w:t>
            </w:r>
          </w:p>
        </w:tc>
        <w:tc>
          <w:tcPr>
            <w:tcW w:type="dxa" w:w="2520"/>
            <w:shd w:val="clear" w:color="auto" w:fill="F2F5FA"/>
          </w:tcPr>
          <w:p>
            <w:pPr>
              <w:spacing w:after="40" w:before="40"/>
            </w:pPr>
            <w:r/>
            <w:r>
              <w:rPr>
                <w:rFonts w:ascii="Calibri" w:hAnsi="Calibri"/>
                <w:sz w:val="17"/>
              </w:rPr>
              <w:t>Q-B6, Q-B9, Q-B10</w:t>
            </w:r>
          </w:p>
        </w:tc>
        <w:tc>
          <w:tcPr>
            <w:tcW w:type="dxa" w:w="2232"/>
            <w:shd w:val="clear" w:color="auto" w:fill="F2F5FA"/>
          </w:tcPr>
          <w:p>
            <w:pPr>
              <w:spacing w:after="40" w:before="40"/>
            </w:pPr>
            <w:r/>
            <w:r>
              <w:rPr>
                <w:rFonts w:ascii="Calibri" w:hAnsi="Calibri"/>
                <w:sz w:val="17"/>
              </w:rPr>
              <w:t>Q-C5, Q-C17</w:t>
            </w:r>
          </w:p>
        </w:tc>
      </w:tr>
      <w:tr>
        <w:tc>
          <w:tcPr>
            <w:tcW w:type="dxa" w:w="2952"/>
          </w:tcPr>
          <w:p>
            <w:pPr>
              <w:spacing w:after="40" w:before="40"/>
            </w:pPr>
            <w:r/>
            <w:r>
              <w:rPr>
                <w:rFonts w:ascii="Calibri" w:hAnsi="Calibri"/>
                <w:b/>
                <w:sz w:val="17"/>
              </w:rPr>
              <w:t>5. DroneNav and other public sources</w:t>
            </w:r>
          </w:p>
        </w:tc>
        <w:tc>
          <w:tcPr>
            <w:tcW w:type="dxa" w:w="2232"/>
          </w:tcPr>
          <w:p>
            <w:pPr>
              <w:spacing w:after="40" w:before="40"/>
            </w:pPr>
            <w:r/>
            <w:r>
              <w:rPr>
                <w:rFonts w:ascii="Calibri" w:hAnsi="Calibri"/>
                <w:sz w:val="17"/>
              </w:rPr>
              <w:t>Q-A26 to Q-A28</w:t>
            </w:r>
          </w:p>
        </w:tc>
        <w:tc>
          <w:tcPr>
            <w:tcW w:type="dxa" w:w="2520"/>
          </w:tcPr>
          <w:p>
            <w:pPr>
              <w:spacing w:after="40" w:before="40"/>
            </w:pPr>
            <w:r/>
            <w:r>
              <w:rPr>
                <w:rFonts w:ascii="Calibri" w:hAnsi="Calibri"/>
                <w:sz w:val="17"/>
              </w:rPr>
              <w:t>Q-B6 to Q-B9</w:t>
            </w:r>
          </w:p>
        </w:tc>
        <w:tc>
          <w:tcPr>
            <w:tcW w:type="dxa" w:w="2232"/>
          </w:tcPr>
          <w:p>
            <w:pPr>
              <w:spacing w:after="40" w:before="40"/>
            </w:pPr>
            <w:r/>
            <w:r>
              <w:rPr>
                <w:rFonts w:ascii="Calibri" w:hAnsi="Calibri"/>
                <w:sz w:val="17"/>
              </w:rPr>
              <w:t>Q-C6, Q-C12</w:t>
            </w:r>
          </w:p>
        </w:tc>
      </w:tr>
      <w:tr>
        <w:tc>
          <w:tcPr>
            <w:tcW w:type="dxa" w:w="2952"/>
            <w:shd w:val="clear" w:color="auto" w:fill="F2F5FA"/>
          </w:tcPr>
          <w:p>
            <w:pPr>
              <w:spacing w:after="40" w:before="40"/>
            </w:pPr>
            <w:r/>
            <w:r>
              <w:rPr>
                <w:rFonts w:ascii="Calibri" w:hAnsi="Calibri"/>
                <w:b/>
                <w:sz w:val="17"/>
              </w:rPr>
              <w:t>6. Pre-suit correspondence chain</w:t>
            </w:r>
          </w:p>
        </w:tc>
        <w:tc>
          <w:tcPr>
            <w:tcW w:type="dxa" w:w="2232"/>
            <w:shd w:val="clear" w:color="auto" w:fill="F2F5FA"/>
          </w:tcPr>
          <w:p>
            <w:pPr>
              <w:spacing w:after="40" w:before="40"/>
            </w:pPr>
            <w:r/>
            <w:r>
              <w:rPr>
                <w:rFonts w:ascii="Calibri" w:hAnsi="Calibri"/>
                <w:sz w:val="17"/>
              </w:rPr>
              <w:t>Q-A29 to Q-A32</w:t>
            </w:r>
          </w:p>
        </w:tc>
        <w:tc>
          <w:tcPr>
            <w:tcW w:type="dxa" w:w="2520"/>
            <w:shd w:val="clear" w:color="auto" w:fill="F2F5FA"/>
          </w:tcPr>
          <w:p>
            <w:pPr>
              <w:spacing w:after="40" w:before="40"/>
            </w:pPr>
            <w:r/>
            <w:r>
              <w:rPr>
                <w:rFonts w:ascii="Calibri" w:hAnsi="Calibri"/>
                <w:sz w:val="17"/>
              </w:rPr>
              <w:t>Q-B14, Q-B15</w:t>
            </w:r>
          </w:p>
        </w:tc>
        <w:tc>
          <w:tcPr>
            <w:tcW w:type="dxa" w:w="2232"/>
            <w:shd w:val="clear" w:color="auto" w:fill="F2F5FA"/>
          </w:tcPr>
          <w:p>
            <w:pPr>
              <w:spacing w:after="40" w:before="40"/>
            </w:pPr>
            <w:r/>
            <w:r>
              <w:rPr>
                <w:rFonts w:ascii="Calibri" w:hAnsi="Calibri"/>
                <w:sz w:val="17"/>
              </w:rPr>
              <w:t>Q-C1 to Q-C4, Q-C7, Q-C8</w:t>
            </w:r>
          </w:p>
        </w:tc>
      </w:tr>
      <w:tr>
        <w:tc>
          <w:tcPr>
            <w:tcW w:type="dxa" w:w="2952"/>
          </w:tcPr>
          <w:p>
            <w:pPr>
              <w:spacing w:after="40" w:before="40"/>
            </w:pPr>
            <w:r/>
            <w:r>
              <w:rPr>
                <w:rFonts w:ascii="Calibri" w:hAnsi="Calibri"/>
                <w:b/>
                <w:sz w:val="17"/>
              </w:rPr>
              <w:t>Privilege boundary (cross-cutting)</w:t>
            </w:r>
          </w:p>
        </w:tc>
        <w:tc>
          <w:tcPr>
            <w:tcW w:type="dxa" w:w="2232"/>
          </w:tcPr>
          <w:p>
            <w:pPr>
              <w:spacing w:after="40" w:before="40"/>
            </w:pPr>
            <w:r/>
            <w:r>
              <w:rPr>
                <w:rFonts w:ascii="Calibri" w:hAnsi="Calibri"/>
                <w:sz w:val="17"/>
              </w:rPr>
              <w:t>Reserved; conflicts check required before Q-A7</w:t>
            </w:r>
          </w:p>
        </w:tc>
        <w:tc>
          <w:tcPr>
            <w:tcW w:type="dxa" w:w="2520"/>
          </w:tcPr>
          <w:p>
            <w:pPr>
              <w:spacing w:after="40" w:before="40"/>
            </w:pPr>
            <w:r/>
            <w:r>
              <w:rPr>
                <w:rFonts w:ascii="Calibri" w:hAnsi="Calibri"/>
                <w:sz w:val="17"/>
              </w:rPr>
              <w:t>Q-B14 (instruction as business fact)</w:t>
            </w:r>
          </w:p>
        </w:tc>
        <w:tc>
          <w:tcPr>
            <w:tcW w:type="dxa" w:w="2232"/>
          </w:tcPr>
          <w:p>
            <w:pPr>
              <w:spacing w:after="40" w:before="40"/>
            </w:pPr>
            <w:r/>
            <w:r>
              <w:rPr>
                <w:rFonts w:ascii="Calibri" w:hAnsi="Calibri"/>
                <w:sz w:val="17"/>
              </w:rPr>
              <w:t>Q-C13 to Q-C18 (Track 2)</w:t>
            </w:r>
          </w:p>
        </w:tc>
      </w:tr>
    </w:tbl>
    <w:p>
      <w:pPr>
        <w:spacing w:after="80"/>
      </w:pPr>
    </w:p>
    <w:p>
      <w:pPr>
        <w:spacing w:after="40"/>
      </w:pPr>
    </w:p>
    <w:tbl>
      <w:tblPr>
        <w:tblStyle w:val="TableGrid"/>
        <w:tblW w:type="auto" w:w="0"/>
        <w:jc w:val="center"/>
        <w:tblLook w:firstColumn="1" w:firstRow="1" w:lastColumn="0" w:lastRow="0" w:noHBand="0" w:noVBand="1" w:val="04A0"/>
      </w:tblPr>
      <w:tblGrid>
        <w:gridCol w:w="4752"/>
        <w:gridCol w:w="4752"/>
      </w:tblGrid>
      <w:tr>
        <w:tc>
          <w:tcPr>
            <w:tcW w:type="dxa" w:w="7056"/>
            <w:shd w:val="clear" w:color="auto" w:fill="1F3E6B"/>
          </w:tcPr>
          <w:p>
            <w:pPr>
              <w:spacing w:after="40" w:before="40"/>
            </w:pPr>
            <w:r/>
            <w:r>
              <w:rPr>
                <w:rFonts w:ascii="Calibri" w:hAnsi="Calibri"/>
                <w:b/>
                <w:color w:val="FFFFFF"/>
                <w:sz w:val="17"/>
              </w:rPr>
              <w:t>Open item</w:t>
            </w:r>
          </w:p>
        </w:tc>
        <w:tc>
          <w:tcPr>
            <w:tcW w:type="dxa" w:w="2880"/>
            <w:shd w:val="clear" w:color="auto" w:fill="1F3E6B"/>
          </w:tcPr>
          <w:p>
            <w:pPr>
              <w:spacing w:after="40" w:before="40"/>
            </w:pPr>
            <w:r/>
            <w:r>
              <w:rPr>
                <w:rFonts w:ascii="Calibri" w:hAnsi="Calibri"/>
                <w:b/>
                <w:color w:val="FFFFFF"/>
                <w:sz w:val="17"/>
              </w:rPr>
              <w:t>Addressed at</w:t>
            </w:r>
          </w:p>
        </w:tc>
      </w:tr>
      <w:tr>
        <w:tc>
          <w:tcPr>
            <w:tcW w:type="dxa" w:w="7056"/>
          </w:tcPr>
          <w:p>
            <w:pPr>
              <w:spacing w:after="40" w:before="40"/>
            </w:pPr>
            <w:r/>
            <w:r>
              <w:rPr>
                <w:rFonts w:ascii="Calibri" w:hAnsi="Calibri"/>
                <w:sz w:val="17"/>
              </w:rPr>
              <w:t>Holt's SkyVault personnel file, onboarding records, badge and systems access records, performance reviews, compensation records and exit-interview record</w:t>
            </w:r>
          </w:p>
        </w:tc>
        <w:tc>
          <w:tcPr>
            <w:tcW w:type="dxa" w:w="2880"/>
          </w:tcPr>
          <w:p>
            <w:pPr>
              <w:spacing w:after="40" w:before="40"/>
            </w:pPr>
            <w:r/>
            <w:r>
              <w:rPr>
                <w:rFonts w:ascii="Calibri" w:hAnsi="Calibri"/>
                <w:sz w:val="17"/>
              </w:rPr>
              <w:t>Q-A1, Q-A4, Q-A7; Q-C9, Q-C11</w:t>
            </w:r>
          </w:p>
        </w:tc>
      </w:tr>
      <w:tr>
        <w:tc>
          <w:tcPr>
            <w:tcW w:type="dxa" w:w="7056"/>
            <w:shd w:val="clear" w:color="auto" w:fill="F2F5FA"/>
          </w:tcPr>
          <w:p>
            <w:pPr>
              <w:spacing w:after="40" w:before="40"/>
            </w:pPr>
            <w:r/>
            <w:r>
              <w:rPr>
                <w:rFonts w:ascii="Calibri" w:hAnsi="Calibri"/>
                <w:sz w:val="17"/>
              </w:rPr>
              <w:t>SkyVault's source code repository, build records and development history for the AeroCore files `navfusion.c`, `pathoptengine.h` and `swarm_proto.cpp`</w:t>
            </w:r>
          </w:p>
        </w:tc>
        <w:tc>
          <w:tcPr>
            <w:tcW w:type="dxa" w:w="2880"/>
            <w:shd w:val="clear" w:color="auto" w:fill="F2F5FA"/>
          </w:tcPr>
          <w:p>
            <w:pPr>
              <w:spacing w:after="40" w:before="40"/>
            </w:pPr>
            <w:r/>
            <w:r>
              <w:rPr>
                <w:rFonts w:ascii="Calibri" w:hAnsi="Calibri"/>
                <w:sz w:val="17"/>
              </w:rPr>
              <w:t>Q-A2, Q-A18; Q-B3, Q-B5</w:t>
            </w:r>
          </w:p>
        </w:tc>
      </w:tr>
      <w:tr>
        <w:tc>
          <w:tcPr>
            <w:tcW w:type="dxa" w:w="7056"/>
          </w:tcPr>
          <w:p>
            <w:pPr>
              <w:spacing w:after="40" w:before="40"/>
            </w:pPr>
            <w:r/>
            <w:r>
              <w:rPr>
                <w:rFonts w:ascii="Calibri" w:hAnsi="Calibri"/>
                <w:sz w:val="17"/>
              </w:rPr>
              <w:t>The AeroCore firmware itself and the deposit material for Copyright Registration No. TX 9-142-338 (issued April 3, 2023, covering "AeroCore Firmware Suite v2.0")</w:t>
            </w:r>
          </w:p>
        </w:tc>
        <w:tc>
          <w:tcPr>
            <w:tcW w:type="dxa" w:w="2880"/>
          </w:tcPr>
          <w:p>
            <w:pPr>
              <w:spacing w:after="40" w:before="40"/>
            </w:pPr>
            <w:r/>
            <w:r>
              <w:rPr>
                <w:rFonts w:ascii="Calibri" w:hAnsi="Calibri"/>
                <w:sz w:val="17"/>
              </w:rPr>
              <w:t>Q-A18; Q-B3, Q-B5; Q-C9</w:t>
            </w:r>
          </w:p>
        </w:tc>
      </w:tr>
      <w:tr>
        <w:tc>
          <w:tcPr>
            <w:tcW w:type="dxa" w:w="7056"/>
            <w:shd w:val="clear" w:color="auto" w:fill="F2F5FA"/>
          </w:tcPr>
          <w:p>
            <w:pPr>
              <w:spacing w:after="40" w:before="40"/>
            </w:pPr>
            <w:r/>
            <w:r>
              <w:rPr>
                <w:rFonts w:ascii="Calibri" w:hAnsi="Calibri"/>
                <w:sz w:val="17"/>
              </w:rPr>
              <w:t>Any technical comparison of AeroCore firmware to PathForge firmware, and any expert analysis of structure, sequence and organization</w:t>
            </w:r>
          </w:p>
        </w:tc>
        <w:tc>
          <w:tcPr>
            <w:tcW w:type="dxa" w:w="2880"/>
            <w:shd w:val="clear" w:color="auto" w:fill="F2F5FA"/>
          </w:tcPr>
          <w:p>
            <w:pPr>
              <w:spacing w:after="40" w:before="40"/>
            </w:pPr>
            <w:r/>
            <w:r>
              <w:rPr>
                <w:rFonts w:ascii="Calibri" w:hAnsi="Calibri"/>
                <w:sz w:val="17"/>
              </w:rPr>
              <w:t>Q-A18; Q-B3, Q-B4, Q-B9</w:t>
            </w:r>
          </w:p>
        </w:tc>
      </w:tr>
      <w:tr>
        <w:tc>
          <w:tcPr>
            <w:tcW w:type="dxa" w:w="7056"/>
          </w:tcPr>
          <w:p>
            <w:pPr>
              <w:spacing w:after="40" w:before="40"/>
            </w:pPr>
            <w:r/>
            <w:r>
              <w:rPr>
                <w:rFonts w:ascii="Calibri" w:hAnsi="Calibri"/>
                <w:sz w:val="17"/>
              </w:rPr>
              <w:t>Meridian's source code repositories, commit history, branch records, code review records and contributor attribution</w:t>
            </w:r>
          </w:p>
        </w:tc>
        <w:tc>
          <w:tcPr>
            <w:tcW w:type="dxa" w:w="2880"/>
          </w:tcPr>
          <w:p>
            <w:pPr>
              <w:spacing w:after="40" w:before="40"/>
            </w:pPr>
            <w:r/>
            <w:r>
              <w:rPr>
                <w:rFonts w:ascii="Calibri" w:hAnsi="Calibri"/>
                <w:sz w:val="17"/>
              </w:rPr>
              <w:t>Q-A18; Q-B1, Q-B3, Q-B13</w:t>
            </w:r>
          </w:p>
        </w:tc>
      </w:tr>
      <w:tr>
        <w:tc>
          <w:tcPr>
            <w:tcW w:type="dxa" w:w="7056"/>
            <w:shd w:val="clear" w:color="auto" w:fill="F2F5FA"/>
          </w:tcPr>
          <w:p>
            <w:pPr>
              <w:spacing w:after="40" w:before="40"/>
            </w:pPr>
            <w:r/>
            <w:r>
              <w:rPr>
                <w:rFonts w:ascii="Calibri" w:hAnsi="Calibri"/>
                <w:sz w:val="17"/>
              </w:rPr>
              <w:t>Meridian's design documents, requirements, architecture records, notebooks and prototypes from 2018-2021</w:t>
            </w:r>
          </w:p>
        </w:tc>
        <w:tc>
          <w:tcPr>
            <w:tcW w:type="dxa" w:w="2880"/>
            <w:shd w:val="clear" w:color="auto" w:fill="F2F5FA"/>
          </w:tcPr>
          <w:p>
            <w:pPr>
              <w:spacing w:after="40" w:before="40"/>
            </w:pPr>
            <w:r/>
            <w:r>
              <w:rPr>
                <w:rFonts w:ascii="Calibri" w:hAnsi="Calibri"/>
                <w:sz w:val="17"/>
              </w:rPr>
              <w:t>Q-A10, Q-A15 to Q-A17; Q-B2, Q-B9</w:t>
            </w:r>
          </w:p>
        </w:tc>
      </w:tr>
      <w:tr>
        <w:tc>
          <w:tcPr>
            <w:tcW w:type="dxa" w:w="7056"/>
          </w:tcPr>
          <w:p>
            <w:pPr>
              <w:spacing w:after="40" w:before="40"/>
            </w:pPr>
            <w:r/>
            <w:r>
              <w:rPr>
                <w:rFonts w:ascii="Calibri" w:hAnsi="Calibri"/>
                <w:sz w:val="17"/>
              </w:rPr>
              <w:t>Meridian's test plans, test results, field test data and the records behind the white paper's published benchmarks</w:t>
            </w:r>
          </w:p>
        </w:tc>
        <w:tc>
          <w:tcPr>
            <w:tcW w:type="dxa" w:w="2880"/>
          </w:tcPr>
          <w:p>
            <w:pPr>
              <w:spacing w:after="40" w:before="40"/>
            </w:pPr>
            <w:r/>
            <w:r>
              <w:rPr>
                <w:rFonts w:ascii="Calibri" w:hAnsi="Calibri"/>
                <w:sz w:val="17"/>
              </w:rPr>
              <w:t>Q-B10, Q-B11</w:t>
            </w:r>
          </w:p>
        </w:tc>
      </w:tr>
      <w:tr>
        <w:tc>
          <w:tcPr>
            <w:tcW w:type="dxa" w:w="7056"/>
            <w:shd w:val="clear" w:color="auto" w:fill="F2F5FA"/>
          </w:tcPr>
          <w:p>
            <w:pPr>
              <w:spacing w:after="40" w:before="40"/>
            </w:pPr>
            <w:r/>
            <w:r>
              <w:rPr>
                <w:rFonts w:ascii="Calibri" w:hAnsi="Calibri"/>
                <w:sz w:val="17"/>
              </w:rPr>
              <w:t>Meridian's release records, version history and build artifacts</w:t>
            </w:r>
          </w:p>
        </w:tc>
        <w:tc>
          <w:tcPr>
            <w:tcW w:type="dxa" w:w="2880"/>
            <w:shd w:val="clear" w:color="auto" w:fill="F2F5FA"/>
          </w:tcPr>
          <w:p>
            <w:pPr>
              <w:spacing w:after="40" w:before="40"/>
            </w:pPr>
            <w:r/>
            <w:r>
              <w:rPr>
                <w:rFonts w:ascii="Calibri" w:hAnsi="Calibri"/>
                <w:sz w:val="17"/>
              </w:rPr>
              <w:t>Q-B12</w:t>
            </w:r>
          </w:p>
        </w:tc>
      </w:tr>
      <w:tr>
        <w:tc>
          <w:tcPr>
            <w:tcW w:type="dxa" w:w="7056"/>
          </w:tcPr>
          <w:p>
            <w:pPr>
              <w:spacing w:after="40" w:before="40"/>
            </w:pPr>
            <w:r/>
            <w:r>
              <w:rPr>
                <w:rFonts w:ascii="Calibri" w:hAnsi="Calibri"/>
                <w:sz w:val="17"/>
              </w:rPr>
              <w:t>Meridian's third-party and open-source dependency inventory, license records and SBOM</w:t>
            </w:r>
          </w:p>
        </w:tc>
        <w:tc>
          <w:tcPr>
            <w:tcW w:type="dxa" w:w="2880"/>
          </w:tcPr>
          <w:p>
            <w:pPr>
              <w:spacing w:after="40" w:before="40"/>
            </w:pPr>
            <w:r/>
            <w:r>
              <w:rPr>
                <w:rFonts w:ascii="Calibri" w:hAnsi="Calibri"/>
                <w:sz w:val="17"/>
              </w:rPr>
              <w:t>Q-A27; Q-B6 to Q-B8</w:t>
            </w:r>
          </w:p>
        </w:tc>
      </w:tr>
      <w:tr>
        <w:tc>
          <w:tcPr>
            <w:tcW w:type="dxa" w:w="7056"/>
            <w:shd w:val="clear" w:color="auto" w:fill="F2F5FA"/>
          </w:tcPr>
          <w:p>
            <w:pPr>
              <w:spacing w:after="40" w:before="40"/>
            </w:pPr>
            <w:r/>
            <w:r>
              <w:rPr>
                <w:rFonts w:ascii="Calibri" w:hAnsi="Calibri"/>
                <w:sz w:val="17"/>
              </w:rPr>
              <w:t>Meridian's litigation hold notices, preservation records, retention-suspension records and IT preservation logs</w:t>
            </w:r>
          </w:p>
        </w:tc>
        <w:tc>
          <w:tcPr>
            <w:tcW w:type="dxa" w:w="2880"/>
            <w:shd w:val="clear" w:color="auto" w:fill="F2F5FA"/>
          </w:tcPr>
          <w:p>
            <w:pPr>
              <w:spacing w:after="40" w:before="40"/>
            </w:pPr>
            <w:r/>
            <w:r>
              <w:rPr>
                <w:rFonts w:ascii="Calibri" w:hAnsi="Calibri"/>
                <w:sz w:val="17"/>
              </w:rPr>
              <w:t>Q-C3, Q-C4, Q-C10</w:t>
            </w:r>
          </w:p>
        </w:tc>
      </w:tr>
      <w:tr>
        <w:tc>
          <w:tcPr>
            <w:tcW w:type="dxa" w:w="7056"/>
          </w:tcPr>
          <w:p>
            <w:pPr>
              <w:spacing w:after="40" w:before="40"/>
            </w:pPr>
            <w:r/>
            <w:r>
              <w:rPr>
                <w:rFonts w:ascii="Calibri" w:hAnsi="Calibri"/>
                <w:sz w:val="17"/>
              </w:rPr>
              <w:t>Meridian's internal communications concerning PathForge development, the 2022 white paper and the 2024 correspondence</w:t>
            </w:r>
          </w:p>
        </w:tc>
        <w:tc>
          <w:tcPr>
            <w:tcW w:type="dxa" w:w="2880"/>
          </w:tcPr>
          <w:p>
            <w:pPr>
              <w:spacing w:after="40" w:before="40"/>
            </w:pPr>
            <w:r/>
            <w:r>
              <w:rPr>
                <w:rFonts w:ascii="Calibri" w:hAnsi="Calibri"/>
                <w:sz w:val="17"/>
              </w:rPr>
              <w:t>Q-A22, Q-A23; Q-B14, Q-B15; Q-C8, Q-C13</w:t>
            </w:r>
          </w:p>
        </w:tc>
      </w:tr>
      <w:tr>
        <w:tc>
          <w:tcPr>
            <w:tcW w:type="dxa" w:w="7056"/>
            <w:shd w:val="clear" w:color="auto" w:fill="F2F5FA"/>
          </w:tcPr>
          <w:p>
            <w:pPr>
              <w:spacing w:after="40" w:before="40"/>
            </w:pPr>
            <w:r/>
            <w:r>
              <w:rPr>
                <w:rFonts w:ascii="Calibri" w:hAnsi="Calibri"/>
                <w:sz w:val="17"/>
              </w:rPr>
              <w:t>Meridian's compliance program materials: IP policies, onboarding and training records, license review procedures, and employee confidentiality agreements</w:t>
            </w:r>
          </w:p>
        </w:tc>
        <w:tc>
          <w:tcPr>
            <w:tcW w:type="dxa" w:w="2880"/>
            <w:shd w:val="clear" w:color="auto" w:fill="F2F5FA"/>
          </w:tcPr>
          <w:p>
            <w:pPr>
              <w:spacing w:after="40" w:before="40"/>
            </w:pPr>
            <w:r/>
            <w:r>
              <w:rPr>
                <w:rFonts w:ascii="Calibri" w:hAnsi="Calibri"/>
                <w:sz w:val="17"/>
              </w:rPr>
              <w:t>Q-A31; Q-B8, Q-B14; Q-C6</w:t>
            </w:r>
          </w:p>
        </w:tc>
      </w:tr>
      <w:tr>
        <w:tc>
          <w:tcPr>
            <w:tcW w:type="dxa" w:w="7056"/>
          </w:tcPr>
          <w:p>
            <w:pPr>
              <w:spacing w:after="40" w:before="40"/>
            </w:pPr>
            <w:r/>
            <w:r>
              <w:rPr>
                <w:rFonts w:ascii="Calibri" w:hAnsi="Calibri"/>
                <w:sz w:val="17"/>
              </w:rPr>
              <w:t>Complete forensic images and full audit logs; Exhibit F is a 50-event extract from a 12,847-event review period and covers only the account 'mholt' and only January 1 to February 28, 2018</w:t>
            </w:r>
          </w:p>
        </w:tc>
        <w:tc>
          <w:tcPr>
            <w:tcW w:type="dxa" w:w="2880"/>
          </w:tcPr>
          <w:p>
            <w:pPr>
              <w:spacing w:after="40" w:before="40"/>
            </w:pPr>
            <w:r/>
            <w:r>
              <w:rPr>
                <w:rFonts w:ascii="Calibri" w:hAnsi="Calibri"/>
                <w:sz w:val="17"/>
              </w:rPr>
              <w:t>Q-A5, Q-A6, Q-A21; Q-B5; Q-C3, Q-C9</w:t>
            </w:r>
          </w:p>
        </w:tc>
      </w:tr>
      <w:tr>
        <w:tc>
          <w:tcPr>
            <w:tcW w:type="dxa" w:w="7056"/>
            <w:shd w:val="clear" w:color="auto" w:fill="F2F5FA"/>
          </w:tcPr>
          <w:p>
            <w:pPr>
              <w:spacing w:after="40" w:before="40"/>
            </w:pPr>
            <w:r/>
            <w:r>
              <w:rPr>
                <w:rFonts w:ascii="Calibri" w:hAnsi="Calibri"/>
                <w:sz w:val="17"/>
              </w:rPr>
              <w:t>The March 12, 2024 cease-and-desist letter itself, and Exhibits A-E and G to the Complaint</w:t>
            </w:r>
          </w:p>
        </w:tc>
        <w:tc>
          <w:tcPr>
            <w:tcW w:type="dxa" w:w="2880"/>
            <w:shd w:val="clear" w:color="auto" w:fill="F2F5FA"/>
          </w:tcPr>
          <w:p>
            <w:pPr>
              <w:spacing w:after="40" w:before="40"/>
            </w:pPr>
            <w:r/>
            <w:r>
              <w:rPr>
                <w:rFonts w:ascii="Calibri" w:hAnsi="Calibri"/>
                <w:sz w:val="17"/>
              </w:rPr>
              <w:t>Q-A29, Q-A30; Q-B15; Q-C1, Q-C2, Q-C7</w:t>
            </w:r>
          </w:p>
        </w:tc>
      </w:tr>
      <w:tr>
        <w:tc>
          <w:tcPr>
            <w:tcW w:type="dxa" w:w="7056"/>
          </w:tcPr>
          <w:p>
            <w:pPr>
              <w:spacing w:after="40" w:before="40"/>
            </w:pPr>
            <w:r/>
            <w:r>
              <w:rPr>
                <w:rFonts w:ascii="Calibri" w:hAnsi="Calibri"/>
                <w:sz w:val="17"/>
              </w:rPr>
              <w:t>Meridian's HR and recruiting records for 2018-2019, relevant to ECIAA Section 7</w:t>
            </w:r>
          </w:p>
        </w:tc>
        <w:tc>
          <w:tcPr>
            <w:tcW w:type="dxa" w:w="2880"/>
          </w:tcPr>
          <w:p>
            <w:pPr>
              <w:spacing w:after="40" w:before="40"/>
            </w:pPr>
            <w:r/>
            <w:r>
              <w:rPr>
                <w:rFonts w:ascii="Calibri" w:hAnsi="Calibri"/>
                <w:sz w:val="17"/>
              </w:rPr>
              <w:t>Q-A9; Q-B13</w:t>
            </w:r>
          </w:p>
        </w:tc>
      </w:tr>
      <w:tr>
        <w:tc>
          <w:tcPr>
            <w:tcW w:type="dxa" w:w="7056"/>
            <w:shd w:val="clear" w:color="auto" w:fill="F2F5FA"/>
          </w:tcPr>
          <w:p>
            <w:pPr>
              <w:spacing w:after="40" w:before="40"/>
            </w:pPr>
            <w:r/>
            <w:r>
              <w:rPr>
                <w:rFonts w:ascii="Calibri" w:hAnsi="Calibri"/>
                <w:sz w:val="17"/>
              </w:rPr>
              <w:t>Meridian's revenue, customer and pricing records, relevant to the damages allegations</w:t>
            </w:r>
          </w:p>
        </w:tc>
        <w:tc>
          <w:tcPr>
            <w:tcW w:type="dxa" w:w="2880"/>
            <w:shd w:val="clear" w:color="auto" w:fill="F2F5FA"/>
          </w:tcPr>
          <w:p>
            <w:pPr>
              <w:spacing w:after="40" w:before="40"/>
            </w:pPr>
            <w:r/>
            <w:r>
              <w:rPr>
                <w:rFonts w:ascii="Calibri" w:hAnsi="Calibri"/>
                <w:sz w:val="17"/>
              </w:rPr>
              <w:t>Q-B12; Q-C9</w:t>
            </w:r>
          </w:p>
        </w:tc>
      </w:tr>
    </w:tbl>
    <w:p>
      <w:pPr>
        <w:spacing w:after="80"/>
      </w:pP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