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0"/>
        </w:rPr>
        <w:t>PRIVILEGED &amp; CONFIDENTIAL — ATTORNEY WORK PRODUCT</w:t>
      </w:r>
    </w:p>
    <w:p>
      <w:pPr>
        <w:spacing w:after="280" w:before="0"/>
        <w:jc w:val="center"/>
      </w:pPr>
      <w:r>
        <w:rPr>
          <w:b w:val="0"/>
          <w:i/>
          <w:sz w:val="20"/>
        </w:rPr>
        <w:t>PREPARED AT THE REQUEST OF COUNSEL IN ANTICIPATION OF LITIGATION</w:t>
      </w:r>
    </w:p>
    <w:p>
      <w:pPr>
        <w:spacing w:after="40" w:before="0"/>
        <w:jc w:val="center"/>
      </w:pPr>
      <w:r>
        <w:rPr>
          <w:b/>
          <w:i w:val="0"/>
          <w:sz w:val="28"/>
        </w:rPr>
        <w:t>WITNESS-INTERVIEW OUTLINE AND PREPARATION MEMORANDUM</w:t>
      </w:r>
    </w:p>
    <w:p>
      <w:pPr>
        <w:spacing w:after="280" w:before="0"/>
        <w:jc w:val="center"/>
      </w:pPr>
      <w:r>
        <w:rPr>
          <w:b/>
          <w:i w:val="0"/>
          <w:sz w:val="22"/>
        </w:rPr>
        <w:t>SkyVault Technologies LLC v. Meridian Dynamics, Inc., Civil Action No. 2:24-cv-00817-JRG (E.D. Tex.)</w:t>
      </w:r>
    </w:p>
    <w:tbl>
      <w:tblPr>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Engagement Partner / Litigation Team</w:t>
            </w:r>
          </w:p>
        </w:tc>
      </w:tr>
      <w:tr>
        <w:tc>
          <w:tcPr>
            <w:tcW w:type="dxa" w:w="4320"/>
          </w:tcPr>
          <w:p>
            <w:r>
              <w:rPr>
                <w:b/>
                <w:sz w:val="20"/>
              </w:rPr>
              <w:t>FROM:</w:t>
            </w:r>
          </w:p>
        </w:tc>
        <w:tc>
          <w:tcPr>
            <w:tcW w:type="dxa" w:w="4320"/>
          </w:tcPr>
          <w:p>
            <w:r>
              <w:rPr>
                <w:sz w:val="20"/>
              </w:rPr>
              <w:t>Fact-Investigation Team</w:t>
            </w:r>
          </w:p>
        </w:tc>
      </w:tr>
      <w:tr>
        <w:tc>
          <w:tcPr>
            <w:tcW w:type="dxa" w:w="4320"/>
          </w:tcPr>
          <w:p>
            <w:r>
              <w:rPr>
                <w:b/>
                <w:sz w:val="20"/>
              </w:rPr>
              <w:t>RE:</w:t>
            </w:r>
          </w:p>
        </w:tc>
        <w:tc>
          <w:tcPr>
            <w:tcW w:type="dxa" w:w="4320"/>
          </w:tcPr>
          <w:p>
            <w:r>
              <w:rPr>
                <w:sz w:val="20"/>
              </w:rPr>
              <w:t>Design of internal witness interviews — Meridian Dynamics, Inc.</w:t>
            </w:r>
          </w:p>
        </w:tc>
      </w:tr>
      <w:tr>
        <w:tc>
          <w:tcPr>
            <w:tcW w:type="dxa" w:w="4320"/>
          </w:tcPr>
          <w:p>
            <w:r>
              <w:rPr>
                <w:b/>
                <w:sz w:val="20"/>
              </w:rPr>
              <w:t>DATE:</w:t>
            </w:r>
          </w:p>
        </w:tc>
        <w:tc>
          <w:tcPr>
            <w:tcW w:type="dxa" w:w="4320"/>
          </w:tcPr>
          <w:p>
            <w:r>
              <w:rPr>
                <w:sz w:val="20"/>
              </w:rPr>
              <w:t>September 22, 2026</w:t>
            </w:r>
          </w:p>
        </w:tc>
      </w:tr>
    </w:tbl>
    <w:p>
      <w:pPr>
        <w:spacing w:after="160" w:before="0"/>
      </w:pPr>
      <w:r>
        <w:rPr>
          <w:b w:val="0"/>
          <w:i w:val="0"/>
          <w:sz w:val="22"/>
        </w:rPr>
      </w:r>
    </w:p>
    <w:p>
      <w:pPr>
        <w:pStyle w:val="Heading1"/>
      </w:pPr>
      <w:r>
        <w:t>I.  Purpose, Scope, and Evidentiary Posture</w:t>
      </w:r>
    </w:p>
    <w:p>
      <w:pPr>
        <w:spacing w:after="120" w:before="0"/>
      </w:pPr>
      <w:r>
        <w:rPr>
          <w:b w:val="0"/>
          <w:i w:val="0"/>
          <w:sz w:val="22"/>
        </w:rPr>
        <w:t>This memorandum designs the next round of internal witness interviews that Meridian Dynamics, Inc. ("Meridian") should conduct, under privilege, in response to the allegations in SkyVault Technologies LLC’s ("SkyVault") Original Complaint (the "Complaint"). Its purpose is factual development only. It is not a deposition outline, a claim chart, an infringement or invalidity opinion, a settlement communication, or a merits assessment, and nothing here should be read as a concession that any alleged act occurred. Open-ended, confirmatory questions are used wherever a fact must be established by the witness rather than by counsel.</w:t>
      </w:r>
    </w:p>
    <w:p>
      <w:pPr>
        <w:spacing w:after="120" w:before="0"/>
      </w:pPr>
      <w:r>
        <w:rPr>
          <w:b/>
          <w:i w:val="0"/>
          <w:sz w:val="22"/>
        </w:rPr>
        <w:t xml:space="preserve">A. Materials available within the packet and their evidentiary weight. </w:t>
      </w:r>
      <w:r>
        <w:rPr>
          <w:b w:val="0"/>
          <w:i w:val="0"/>
          <w:sz w:val="22"/>
        </w:rPr>
        <w:t>Five documents frame the factual universe for this interview design. Their existence is not itself proof of the propositions for which each is offered; each is characterized below by what it actually tends to show, and each unresolved item is converted into an interview-confirmation or document-collection question.</w:t>
      </w:r>
    </w:p>
    <w:p>
      <w:pPr>
        <w:pStyle w:val="ListBullet"/>
        <w:spacing w:after="40"/>
      </w:pPr>
      <w:r>
        <w:rPr>
          <w:sz w:val="22"/>
        </w:rPr>
        <w:t>skyvault-complaint.docx (the "Complaint") — SkyVault’s own pleading. It is admissible for what SkyVault alleges, and for party-admission purposes, but its factual assertions (including those made "on information and belief") are unproven allegations, not findings. It supplies the operative claims, the patents-in-suit, the alleged trade-secret categories (TS-1 through TS-5), the ECIAA provisions at issue, and the pre-suit correspondence chain described at ¶¶ 61–63.</w:t>
      </w:r>
    </w:p>
    <w:p>
      <w:pPr>
        <w:pStyle w:val="ListBullet"/>
        <w:spacing w:after="40"/>
      </w:pPr>
      <w:r>
        <w:rPr>
          <w:sz w:val="22"/>
        </w:rPr>
        <w:t>holt-eciaa-agreement.docx (the "ECIAA") — the June 13, 2016 Employee Confidentiality and Invention Assignment Agreement between SkyVault and Dr. Marcus Holt. This is a contract and a prior-invention disclosure; it shows the obligations Holt undertook and what he affirmatively listed as pre-existing work on its Exhibit A. It is not evidence of breach.</w:t>
      </w:r>
    </w:p>
    <w:p>
      <w:pPr>
        <w:pStyle w:val="ListBullet"/>
        <w:spacing w:after="40"/>
      </w:pPr>
      <w:r>
        <w:rPr>
          <w:sz w:val="22"/>
        </w:rPr>
        <w:t>pathforge-whitepaper-excerpt.docx (the "White Paper") — the July 2022 public technical/marketing paper "PathForge: Next-Generation Autonomous Navigation," attributed to Dr. Marcus Holt and the PathForge Engineering Team. It is a 2022 public statement of PathForge’s architecture and asserted provenance; it is Meridian’s own prior publication, but its technical claims were not made under oath and the excerpt omits Section 6 and the appendices.</w:t>
      </w:r>
    </w:p>
    <w:p>
      <w:pPr>
        <w:pStyle w:val="ListBullet"/>
        <w:spacing w:after="40"/>
      </w:pPr>
      <w:r>
        <w:rPr>
          <w:sz w:val="22"/>
        </w:rPr>
        <w:t>exhibit-f-forensic-log.xlsx (the "Forensic Log" / "Exhibit F") — an extract prepared by Hargrove Forensics Group for SkyVault’s counsel on March 5, 2018, containing 50 selected events from a 12,847-event review period for the ‘mholt’ Confluence account. This is SkyVault’s forensic narrative of its own systems; it shows what SkyVault’s logs recorded, not what Dr. Holt did with any file thereafter, and it is labeled attorney work product.</w:t>
      </w:r>
    </w:p>
    <w:p>
      <w:pPr>
        <w:pStyle w:val="ListBullet"/>
        <w:spacing w:after="40"/>
      </w:pPr>
      <w:r>
        <w:rPr>
          <w:sz w:val="22"/>
        </w:rPr>
        <w:t>meridian-cd-response.docx (the "Response Letter") — the April 5, 2024 letter from Meridian’s outside counsel Brackwell &amp; Haines LLP to SkyVault’s counsel. It is counsel’s litigation-position statement; its denials, independent-development and compliance assertions are party positions, not established facts.</w:t>
      </w:r>
    </w:p>
    <w:p>
      <w:pPr>
        <w:spacing w:after="120" w:before="0"/>
      </w:pPr>
      <w:r>
        <w:rPr>
          <w:b/>
          <w:i w:val="0"/>
          <w:sz w:val="22"/>
        </w:rPr>
        <w:t xml:space="preserve">B. Items deliberately not treated as proven. </w:t>
      </w:r>
      <w:r>
        <w:rPr>
          <w:b w:val="0"/>
          <w:i w:val="0"/>
          <w:sz w:val="22"/>
        </w:rPr>
        <w:t>The following are not in the packet and must not be assumed: Holt’s personnel file; the PathForge source code repository, dependency manifests, build records, commit history, and test/release logs; device-preservation or USB-custody records; Meridian internal communications and compliance materials; full forensic imaging data; and any side-by-side technical comparison. The March 12, 2024 cease-and-desist letter itself is not provided; it may be relied upon only to the extent its contents are quoted in Complaint ¶ 61 and acknowledged in the Response Letter. Each gap is reformatted below as a confirmation or production request rather than a fact.</w:t>
      </w:r>
    </w:p>
    <w:p>
      <w:pPr>
        <w:spacing w:after="120" w:before="0"/>
      </w:pPr>
      <w:r>
        <w:rPr>
          <w:b/>
          <w:i w:val="0"/>
          <w:sz w:val="22"/>
        </w:rPr>
        <w:t xml:space="preserve">C. Privilege handling across the three interview tracks. </w:t>
      </w:r>
      <w:r>
        <w:rPr>
          <w:b w:val="0"/>
          <w:i w:val="0"/>
          <w:sz w:val="22"/>
        </w:rPr>
        <w:t>Questions are sorted so that discoverable factual events (what a witness did, saw, or built) are separated from communications protected by the attorney-client privilege or the work-product doctrine (advice given, mental impressions, litigation strategy). Where a question risks eliciting privileged matter, the memorandum flags the boundary and confines the ask to observable facts, dates, documents, and identities, leaving legal-content questions for the legal lead track under a privilege protocol.</w:t>
      </w:r>
    </w:p>
    <w:p>
      <w:pPr>
        <w:pStyle w:val="Heading1"/>
      </w:pPr>
      <w:r>
        <w:t>II.  Witness Category A — Dr. Marcus Holt (CTO and Co-Founder)</w:t>
      </w:r>
    </w:p>
    <w:p>
      <w:pPr>
        <w:spacing w:after="120" w:before="0"/>
      </w:pPr>
      <w:r>
        <w:rPr>
          <w:b w:val="0"/>
          <w:i w:val="0"/>
          <w:sz w:val="22"/>
        </w:rPr>
        <w:t>Role in this round. Dr. Holt is the central fact witness because SkyVault’s entire theory runs through him: his SkyVault tenure and access, his pre-employment disclosures, the PathForge origin story, and the public sources he credits in the White Paper. His interview should first lock down the discoverable timeline of his employment, departure, and access, then test the independent-development narrative against the specific technical provenance claims in the White Paper. Because he is a party and the alleged misappropriator, his answers must be developed before the technical team and legal lead are re-interviewed, so their accounts can be measured against his.</w:t>
      </w:r>
    </w:p>
    <w:p>
      <w:pPr>
        <w:pStyle w:val="Heading2"/>
      </w:pPr>
      <w:r>
        <w:t>A. Lead family 1 — Holt’s tenure, role, and access history</w:t>
      </w:r>
    </w:p>
    <w:p>
      <w:pPr>
        <w:spacing w:after="40" w:before="160"/>
        <w:ind w:left="360"/>
      </w:pPr>
      <w:r>
        <w:rPr>
          <w:b w:val="0"/>
          <w:sz w:val="22"/>
        </w:rPr>
        <w:t>1.  Walk us through your employment at SkyVault end to end: when you started, what your title and reporting line were, what you actually worked on day to day, and the exact circumstances and date of your departure.</w:t>
      </w:r>
    </w:p>
    <w:p>
      <w:pPr>
        <w:spacing w:after="40"/>
        <w:ind w:left="720"/>
      </w:pPr>
      <w:r>
        <w:rPr>
          <w:b/>
          <w:i/>
          <w:sz w:val="20"/>
        </w:rPr>
        <w:t xml:space="preserve">Source: </w:t>
      </w:r>
      <w:r>
        <w:rPr>
          <w:i/>
          <w:sz w:val="20"/>
        </w:rPr>
        <w:t>ECIAA §§ 1.1–1.3 (position = Senior Systems Engineer reporting to CEO Dr. Rajan Mehta, start June 13, 2016); Complaint ¶¶ 42–44, 52 (June 13, 2016 start, February 16, 2018 resignation, "twenty-month tenure"); Forensic Log Row #47 (account deactivated, termination date 02/16/2018).</w:t>
      </w:r>
    </w:p>
    <w:p>
      <w:pPr>
        <w:spacing w:after="160"/>
        <w:ind w:left="720"/>
      </w:pPr>
      <w:r>
        <w:rPr>
          <w:b/>
          <w:i/>
          <w:sz w:val="20"/>
        </w:rPr>
        <w:t xml:space="preserve">Evidentiary purpose: </w:t>
      </w:r>
      <w:r>
        <w:rPr>
          <w:i/>
          <w:sz w:val="20"/>
        </w:rPr>
        <w:t>Establishes the bare timeline from Meridian’s own witness rather than from SkyVault’s pleading; the ECIAA fixes his title and reporting line, the Forensic Log fixes the deactivation date, and the question asks Holt to confirm or correct each date.</w:t>
      </w:r>
    </w:p>
    <w:p>
      <w:pPr>
        <w:spacing w:after="40" w:before="160"/>
        <w:ind w:left="360"/>
      </w:pPr>
      <w:r>
        <w:rPr>
          <w:b w:val="0"/>
          <w:sz w:val="22"/>
        </w:rPr>
        <w:t>2.  Which SkyVault systems, repositories, and Confluence spaces could your account access, and for which of those did your role give you a legitimate business reason to read or download files?</w:t>
      </w:r>
    </w:p>
    <w:p>
      <w:pPr>
        <w:spacing w:after="40"/>
        <w:ind w:left="720"/>
      </w:pPr>
      <w:r>
        <w:rPr>
          <w:b/>
          <w:i/>
          <w:sz w:val="20"/>
        </w:rPr>
        <w:t xml:space="preserve">Source: </w:t>
      </w:r>
      <w:r>
        <w:rPr>
          <w:i/>
          <w:sz w:val="20"/>
        </w:rPr>
        <w:t>Complaint ¶ 44 (alleges access to AeroCore, TS-1 through TS-5); ECIAA §§ 4.1–4.3 (Company systems are company property; monitoring consent); Forensic Log Rows #1–#32 and #34 (mholt activity in /SkyVault/Engineering/SensorFusion, /FlightPath, /SwarmProtocol, /HardwareIntegration, and /Business/CustomerData), Row #41 (post-incident permissions audit).</w:t>
      </w:r>
    </w:p>
    <w:p>
      <w:pPr>
        <w:spacing w:after="160"/>
        <w:ind w:left="720"/>
      </w:pPr>
      <w:r>
        <w:rPr>
          <w:b/>
          <w:i/>
          <w:sz w:val="20"/>
        </w:rPr>
        <w:t xml:space="preserve">Evidentiary purpose: </w:t>
      </w:r>
      <w:r>
        <w:rPr>
          <w:i/>
          <w:sz w:val="20"/>
        </w:rPr>
        <w:t>Determines the actual scope of Holt’s authorized access and whether access to /Business/CustomerData (Rows #17, #32, flagged "outside normal Engineering scope") was within his duties; distinguishes authorized viewing from the disputed bulk export.</w:t>
      </w:r>
    </w:p>
    <w:p>
      <w:pPr>
        <w:spacing w:after="40" w:before="160"/>
        <w:ind w:left="360"/>
      </w:pPr>
      <w:r>
        <w:rPr>
          <w:b w:val="0"/>
          <w:sz w:val="22"/>
        </w:rPr>
        <w:t>3.  What happened between February 5 and February 9, 2018, including any personal USB device you connected to your workstation, any bulk Confluence export you ran, and what you did with the files afterward?</w:t>
      </w:r>
    </w:p>
    <w:p>
      <w:pPr>
        <w:spacing w:after="40"/>
        <w:ind w:left="720"/>
      </w:pPr>
      <w:r>
        <w:rPr>
          <w:b/>
          <w:i/>
          <w:sz w:val="20"/>
        </w:rPr>
        <w:t xml:space="preserve">Source: </w:t>
      </w:r>
      <w:r>
        <w:rPr>
          <w:i/>
          <w:sz w:val="20"/>
        </w:rPr>
        <w:t>Forensic Log Row #33 (USB SanDisk Ultra 128GB connected, VID_0781&amp;PID_5581), Row #34 (BULK_COPY_TO_REMOVABLE, 4,700 files / ~18.1 GB, F:\SkyVault_Export\), Row #35 (USB disconnected), Rows #27–#31 (preceding BULK_EXPORT events to local disk); Complaint ¶¶ 48–#52; ECIAA §§ 3.5, 4.2.</w:t>
      </w:r>
    </w:p>
    <w:p>
      <w:pPr>
        <w:spacing w:after="160"/>
        <w:ind w:left="720"/>
      </w:pPr>
      <w:r>
        <w:rPr>
          <w:b/>
          <w:i/>
          <w:sz w:val="20"/>
        </w:rPr>
        <w:t xml:space="preserve">Evidentiary purpose: </w:t>
      </w:r>
      <w:r>
        <w:rPr>
          <w:i/>
          <w:sz w:val="20"/>
        </w:rPr>
        <w:t>Asks the witness to narrate the conduct SkyVault characterizes as misappropriation; the log entries fix that a transfer occurred, but only Holt can explain intent, authorization, and disposition, which ECIAA §§ 3.5 and 4.2 frame as the governed conduct. Treat as a factual event; do not elicit any post-2024 legal advice about it.</w:t>
      </w:r>
    </w:p>
    <w:p>
      <w:pPr>
        <w:spacing w:after="40" w:before="160"/>
        <w:ind w:left="360"/>
      </w:pPr>
      <w:r>
        <w:rPr>
          <w:b w:val="0"/>
          <w:sz w:val="22"/>
        </w:rPr>
        <w:t>4.  Did you take part in an exit interview on or about February 15, 2018, and were you asked to return or certify destruction of Company Materials?</w:t>
      </w:r>
    </w:p>
    <w:p>
      <w:pPr>
        <w:spacing w:after="40"/>
        <w:ind w:left="720"/>
      </w:pPr>
      <w:r>
        <w:rPr>
          <w:b/>
          <w:i/>
          <w:sz w:val="20"/>
        </w:rPr>
        <w:t xml:space="preserve">Source: </w:t>
      </w:r>
      <w:r>
        <w:rPr>
          <w:i/>
          <w:sz w:val="20"/>
        </w:rPr>
        <w:t>Forensic Log Row #40 (exit interview scheduled 02/15/2018), Row #46 (exit interview completed; "Employee declined to return or identify USB device"); ECIAA §§ 3.5, 4.4 (return-of-materials and exit-procedure duties); Complaint ¶ 52.</w:t>
      </w:r>
    </w:p>
    <w:p>
      <w:pPr>
        <w:spacing w:after="160"/>
        <w:ind w:left="720"/>
      </w:pPr>
      <w:r>
        <w:rPr>
          <w:b/>
          <w:i/>
          <w:sz w:val="20"/>
        </w:rPr>
        <w:t xml:space="preserve">Evidentiary purpose: </w:t>
      </w:r>
      <w:r>
        <w:rPr>
          <w:i/>
          <w:sz w:val="20"/>
        </w:rPr>
        <w:t>Tests whether the "declined to return" note in SkyVault’s log is accurate and what Holt’s explanation is, without assuming the log’s characterization is correct.</w:t>
      </w:r>
    </w:p>
    <w:p>
      <w:pPr>
        <w:pStyle w:val="Heading2"/>
      </w:pPr>
      <w:r>
        <w:t>B. Lead family 2 — Holt’s disclosed prior work (ECIAA Exhibit A)</w:t>
      </w:r>
    </w:p>
    <w:p>
      <w:pPr>
        <w:spacing w:after="40" w:before="160"/>
        <w:ind w:left="360"/>
      </w:pPr>
      <w:r>
        <w:rPr>
          <w:b w:val="0"/>
          <w:sz w:val="22"/>
        </w:rPr>
        <w:t>5.  When you signed the ECIAA on June 13, 2016, what pre-existing inventions, algorithms, or toolkits did you list on Exhibit A, and on what basis did you consider them yours to exclude from the assignment?</w:t>
      </w:r>
    </w:p>
    <w:p>
      <w:pPr>
        <w:spacing w:after="40"/>
        <w:ind w:left="720"/>
      </w:pPr>
      <w:r>
        <w:rPr>
          <w:b/>
          <w:i/>
          <w:sz w:val="20"/>
        </w:rPr>
        <w:t xml:space="preserve">Source: </w:t>
      </w:r>
      <w:r>
        <w:rPr>
          <w:i/>
          <w:sz w:val="20"/>
        </w:rPr>
        <w:t>ECIAA Exhibit A (lists "Autonomous Ground Vehicle Path Planning Algorithm," 2014–2015, PhD dissertation, no patent; and "RoboNav Sensor Calibration Toolkit," 2015, MIT-licensed at github.com/mholt-robotics/robonav-cal); ECIAA § 5.3 (Prior Inventions exclusion).</w:t>
      </w:r>
    </w:p>
    <w:p>
      <w:pPr>
        <w:spacing w:after="160"/>
        <w:ind w:left="720"/>
      </w:pPr>
      <w:r>
        <w:rPr>
          <w:b/>
          <w:i/>
          <w:sz w:val="20"/>
        </w:rPr>
        <w:t xml:space="preserve">Evidentiary purpose: </w:t>
      </w:r>
      <w:r>
        <w:rPr>
          <w:i/>
          <w:sz w:val="20"/>
        </w:rPr>
        <w:t>Establishes the entire universe of work Holt affirmatively claimed as pre-employment — the floor for any later independent-development argument. Anything PathForge relies on that is not on this list needs a separate provenance explanation.</w:t>
      </w:r>
    </w:p>
    <w:p>
      <w:pPr>
        <w:spacing w:after="40" w:before="160"/>
        <w:ind w:left="360"/>
      </w:pPr>
      <w:r>
        <w:rPr>
          <w:b w:val="0"/>
          <w:sz w:val="22"/>
        </w:rPr>
        <w:t>6.  Is the "RoboNav Sensor Calibration Toolkit" you disclosed the same project referenced in PathForge documentation, and if so how — as a cited reference, an evaluated baseline, a cloned repository, an imported dependency, a modified fork, or code you actually reused?</w:t>
      </w:r>
    </w:p>
    <w:p>
      <w:pPr>
        <w:spacing w:after="40"/>
        <w:ind w:left="720"/>
      </w:pPr>
      <w:r>
        <w:rPr>
          <w:b/>
          <w:i/>
          <w:sz w:val="20"/>
        </w:rPr>
        <w:t xml:space="preserve">Source: </w:t>
      </w:r>
      <w:r>
        <w:rPr>
          <w:i/>
          <w:sz w:val="20"/>
        </w:rPr>
        <w:t>ECIAA Exhibit A (RoboNav, GitHub mholt-robotics/robonav-cal); White Paper § 2 and References (DroneNav at github.com/dronenav/dronenav; Vasquez 2016; Nakamura &amp; Okonkwo 2015; Ferreira et al. 2016).</w:t>
      </w:r>
    </w:p>
    <w:p>
      <w:pPr>
        <w:spacing w:after="160"/>
        <w:ind w:left="720"/>
      </w:pPr>
      <w:r>
        <w:rPr>
          <w:b/>
          <w:i/>
          <w:sz w:val="20"/>
        </w:rPr>
        <w:t xml:space="preserve">Evidentiary purpose: </w:t>
      </w:r>
      <w:r>
        <w:rPr>
          <w:i/>
          <w:sz w:val="20"/>
        </w:rPr>
        <w:t>Forces a precise verb for each public source — aware / cited / evaluated / cloned / imported / modified / used / unused — so "informed by" language in the White Paper is converted into a concrete, testable factual claim. The ECIAA list is the control: RoboNav is Holt’s own prior work, while DroneNav is a third-party project, so the two must not be conflated.</w:t>
      </w:r>
    </w:p>
    <w:p>
      <w:pPr>
        <w:spacing w:after="40" w:before="160"/>
        <w:ind w:left="360"/>
      </w:pPr>
      <w:r>
        <w:rPr>
          <w:b w:val="0"/>
          <w:sz w:val="22"/>
        </w:rPr>
        <w:t>7.  Apart from the two items on Exhibit A, did you bring any other code, algorithms, design documents, or data into SkyVault when you joined, and did you bring any of your own prior work into Meridian in April 2018?</w:t>
      </w:r>
    </w:p>
    <w:p>
      <w:pPr>
        <w:spacing w:after="40"/>
        <w:ind w:left="720"/>
      </w:pPr>
      <w:r>
        <w:rPr>
          <w:b/>
          <w:i/>
          <w:sz w:val="20"/>
        </w:rPr>
        <w:t xml:space="preserve">Source: </w:t>
      </w:r>
      <w:r>
        <w:rPr>
          <w:i/>
          <w:sz w:val="20"/>
        </w:rPr>
        <w:t>ECIAA § 5.3 (if nothing is listed, employee represents there are no other Prior Inventions); Complaint ¶¶ 53–#55 (Meridian co-founded ~April 11, 2018).</w:t>
      </w:r>
    </w:p>
    <w:p>
      <w:pPr>
        <w:spacing w:after="160"/>
        <w:ind w:left="720"/>
      </w:pPr>
      <w:r>
        <w:rPr>
          <w:b/>
          <w:i/>
          <w:sz w:val="20"/>
        </w:rPr>
        <w:t xml:space="preserve">Evidentiary purpose: </w:t>
      </w:r>
      <w:r>
        <w:rPr>
          <w:i/>
          <w:sz w:val="20"/>
        </w:rPr>
        <w:t>Closes the gap between the narrow Exhibit A list and the broad independent-development narrative; if Holt relies on more pre-2018 work, it must be identified now or risk contradicting his own signed representation.</w:t>
      </w:r>
    </w:p>
    <w:p>
      <w:pPr>
        <w:pStyle w:val="Heading2"/>
      </w:pPr>
      <w:r>
        <w:t>C. Lead family 3 — PathForge development start and timeline</w:t>
      </w:r>
    </w:p>
    <w:p>
      <w:pPr>
        <w:spacing w:after="40" w:before="160"/>
        <w:ind w:left="360"/>
      </w:pPr>
      <w:r>
        <w:rPr>
          <w:b w:val="0"/>
          <w:sz w:val="22"/>
        </w:rPr>
        <w:t>8.  When, concretely, did PathForge development begin, who was the first engineering hire, and what was the very first code committed and the earliest design document dated?</w:t>
      </w:r>
    </w:p>
    <w:p>
      <w:pPr>
        <w:spacing w:after="40"/>
        <w:ind w:left="720"/>
      </w:pPr>
      <w:r>
        <w:rPr>
          <w:b/>
          <w:i/>
          <w:sz w:val="20"/>
        </w:rPr>
        <w:t xml:space="preserve">Source: </w:t>
      </w:r>
      <w:r>
        <w:rPr>
          <w:i/>
          <w:sz w:val="20"/>
        </w:rPr>
        <w:t>White Paper § 1 ("Developed from the ground up beginning in 2018") and § 7.2 (timeline: "April 2018: Meridian incorporated … PathForge development begins"; Q3 2018–Q4 2019 multi-sensor fusion prototyped); Complaint ¶ 53 (Meridian co-founded “on or about April 11, 2018”).</w:t>
      </w:r>
    </w:p>
    <w:p>
      <w:pPr>
        <w:spacing w:after="160"/>
        <w:ind w:left="720"/>
      </w:pPr>
      <w:r>
        <w:rPr>
          <w:b/>
          <w:i/>
          <w:sz w:val="20"/>
        </w:rPr>
        <w:t xml:space="preserve">Evidentiary purpose: </w:t>
      </w:r>
      <w:r>
        <w:rPr>
          <w:i/>
          <w:sz w:val="20"/>
        </w:rPr>
        <w:t>Converts the White Paper’s rounded "beginning in 2018" into dated artifacts. The proximity of Meridian’s April 2018 founding to Holt’s February 16, 2018 SkyVault departure (Forensic Log Row #47) is the temporal core of SkyVault’s inference (Complaint ¶ 54); dated commits and design docs are the only way to confirm or rebut it.</w:t>
      </w:r>
    </w:p>
    <w:p>
      <w:pPr>
        <w:spacing w:after="40" w:before="160"/>
        <w:ind w:left="360"/>
      </w:pPr>
      <w:r>
        <w:rPr>
          <w:b w:val="0"/>
          <w:sz w:val="22"/>
        </w:rPr>
        <w:t>9.  For each of the three core modules — multi-sensor fusion, GPS-denied VIO, and swarm coordination — who designed it, when was each first prototyped, and which Meridian engineers contributed versus you personally?</w:t>
      </w:r>
    </w:p>
    <w:p>
      <w:pPr>
        <w:spacing w:after="40"/>
        <w:ind w:left="720"/>
      </w:pPr>
      <w:r>
        <w:rPr>
          <w:b/>
          <w:i/>
          <w:sz w:val="20"/>
        </w:rPr>
        <w:t xml:space="preserve">Source: </w:t>
      </w:r>
      <w:r>
        <w:rPr>
          <w:i/>
          <w:sz w:val="20"/>
        </w:rPr>
        <w:t>White Paper § 1 (three pillars), § 7.2 (per-module phased timeline: fusion Q3 2018–Q4 2019; VIO Q1 2019–Q3 2020; swarm Q2 2019–Q1 2021), § 7.1 (Navigation, Swarm, Analytics, Hardware Integration as independent modules).</w:t>
      </w:r>
    </w:p>
    <w:p>
      <w:pPr>
        <w:spacing w:after="160"/>
        <w:ind w:left="720"/>
      </w:pPr>
      <w:r>
        <w:rPr>
          <w:b/>
          <w:i/>
          <w:sz w:val="20"/>
        </w:rPr>
        <w:t xml:space="preserve">Evidentiary purpose: </w:t>
      </w:r>
      <w:r>
        <w:rPr>
          <w:i/>
          <w:sz w:val="20"/>
        </w:rPr>
        <w:t>Separates contributors and modules so contribution cannot be laundered across modules; identifies the specific engineers whose own interviews (Witness Category B) must mirror these attributions.</w:t>
      </w:r>
    </w:p>
    <w:p>
      <w:pPr>
        <w:spacing w:after="40" w:before="160"/>
        <w:ind w:left="360"/>
      </w:pPr>
      <w:r>
        <w:rPr>
          <w:b w:val="0"/>
          <w:sz w:val="22"/>
        </w:rPr>
        <w:t>10.  What dependencies, third-party libraries, and open-source components does each PathForge module actually import, and for each, is it a direct copy, a vendored dependency, or a modified fork — with the corresponding license and attribution file?</w:t>
      </w:r>
    </w:p>
    <w:p>
      <w:pPr>
        <w:spacing w:after="40"/>
        <w:ind w:left="720"/>
      </w:pPr>
      <w:r>
        <w:rPr>
          <w:b/>
          <w:i/>
          <w:sz w:val="20"/>
        </w:rPr>
        <w:t xml:space="preserve">Source: </w:t>
      </w:r>
      <w:r>
        <w:rPr>
          <w:i/>
          <w:sz w:val="20"/>
        </w:rPr>
        <w:t>White Paper § 2 and References (names DroneNav, Vasquez, Nakamura &amp; Okonkwo, Ferreira et al. as foundations); White Paper § 7.2 ("PathForge’s VIO pipeline was developed independently, drawing on the same well-known algorithmic foundations").</w:t>
      </w:r>
    </w:p>
    <w:p>
      <w:pPr>
        <w:spacing w:after="160"/>
        <w:ind w:left="720"/>
      </w:pPr>
      <w:r>
        <w:rPr>
          <w:b/>
          <w:i/>
          <w:sz w:val="20"/>
        </w:rPr>
        <w:t xml:space="preserve">Evidentiary purpose: </w:t>
      </w:r>
      <w:r>
        <w:rPr>
          <w:i/>
          <w:sz w:val="20"/>
        </w:rPr>
        <w:t>Asks for the build-time ground truth (manifests, SBOM, LICENSE files) that the White Paper’s narrative prose does not provide; this is a document-collection question as much as an interview question because the repository is not in the packet.</w:t>
      </w:r>
    </w:p>
    <w:p>
      <w:pPr>
        <w:spacing w:after="40" w:before="160"/>
        <w:ind w:left="360"/>
      </w:pPr>
      <w:r>
        <w:rPr>
          <w:b w:val="0"/>
          <w:sz w:val="22"/>
        </w:rPr>
        <w:t>11.  What test records, flight-test logs, benchmark runs, and release/version tags support the performance figures in the White Paper (99.7% detection, 38 ms latency, &lt;0.5% drift, 0 collisions over 1,200+ hours)?</w:t>
      </w:r>
    </w:p>
    <w:p>
      <w:pPr>
        <w:spacing w:after="40"/>
        <w:ind w:left="720"/>
      </w:pPr>
      <w:r>
        <w:rPr>
          <w:b/>
          <w:i/>
          <w:sz w:val="20"/>
        </w:rPr>
        <w:t xml:space="preserve">Source: </w:t>
      </w:r>
      <w:r>
        <w:rPr>
          <w:i/>
          <w:sz w:val="20"/>
        </w:rPr>
        <w:t>White Paper §§ 3.3, 4.4, 5.4 (benchmark tables); White Paper § 7.2 (September 2020 v1.0 launch; Swarm production deployment Q1 2021; Analytics Q3 2021).</w:t>
      </w:r>
    </w:p>
    <w:p>
      <w:pPr>
        <w:spacing w:after="160"/>
        <w:ind w:left="720"/>
      </w:pPr>
      <w:r>
        <w:rPr>
          <w:b/>
          <w:i/>
          <w:sz w:val="20"/>
        </w:rPr>
        <w:t xml:space="preserve">Evidentiary purpose: </w:t>
      </w:r>
      <w:r>
        <w:rPr>
          <w:i/>
          <w:sz w:val="20"/>
        </w:rPr>
        <w:t>Ties each headline number to underlying test artifacts and release dates so the 2020–2021 commercial-launch timeline can be independently verified rather than taken from a marketing paper.</w:t>
      </w:r>
    </w:p>
    <w:p>
      <w:pPr>
        <w:pStyle w:val="Heading2"/>
      </w:pPr>
      <w:r>
        <w:t>D. Lead family 4 — White Paper title, authorship, and accuracy</w:t>
      </w:r>
    </w:p>
    <w:p>
      <w:pPr>
        <w:spacing w:after="40" w:before="160"/>
        <w:ind w:left="360"/>
      </w:pPr>
      <w:r>
        <w:rPr>
          <w:b w:val="0"/>
          <w:sz w:val="22"/>
        </w:rPr>
        <w:t>12.  Who chose the title "PathForge: Next-Generation Autonomous Navigation," who is named as author, and what review did the paper go through before its July 2022 release?</w:t>
      </w:r>
    </w:p>
    <w:p>
      <w:pPr>
        <w:spacing w:after="40"/>
        <w:ind w:left="720"/>
      </w:pPr>
      <w:r>
        <w:rPr>
          <w:b/>
          <w:i/>
          <w:sz w:val="20"/>
        </w:rPr>
        <w:t xml:space="preserve">Source: </w:t>
      </w:r>
      <w:r>
        <w:rPr>
          <w:i/>
          <w:sz w:val="20"/>
        </w:rPr>
        <w:t>White Paper cover (title; "Dr. Marcus Holt, CTO and Co-Founder, PathForge Engineering Team"; July 2022; "Public Release / Marketing Technical Paper"); Complaint ¶ 57 (identifies the White Paper as Exhibit G, authored by Holt and the Meridian engineering team).</w:t>
      </w:r>
    </w:p>
    <w:p>
      <w:pPr>
        <w:spacing w:after="160"/>
        <w:ind w:left="720"/>
      </w:pPr>
      <w:r>
        <w:rPr>
          <w:b/>
          <w:i/>
          <w:sz w:val="20"/>
        </w:rPr>
        <w:t xml:space="preserve">Evidentiary purpose: </w:t>
      </w:r>
      <w:r>
        <w:rPr>
          <w:i/>
          <w:sz w:val="20"/>
        </w:rPr>
        <w:t>Establishes authorship and pre-release review — important because the White Paper is Meridian’s own prior public statement and will be used against Meridian; confirms whether Holt personally stands behind every technical assertion (e.g., the § 7.2 independent-development timeline) or whether sections were drafted by others.</w:t>
      </w:r>
    </w:p>
    <w:p>
      <w:pPr>
        <w:spacing w:after="40" w:before="160"/>
        <w:ind w:left="360"/>
      </w:pPr>
      <w:r>
        <w:rPr>
          <w:b w:val="0"/>
          <w:sz w:val="22"/>
        </w:rPr>
        <w:t>13.  Are the technical descriptions and the provenance claims in the excerpt (Sections 1–5 and 7) accurate and complete as of July 2022, and did anything change after the March 12, 2024 cease-and-desist letter?</w:t>
      </w:r>
    </w:p>
    <w:p>
      <w:pPr>
        <w:spacing w:after="40"/>
        <w:ind w:left="720"/>
      </w:pPr>
      <w:r>
        <w:rPr>
          <w:b/>
          <w:i/>
          <w:sz w:val="20"/>
        </w:rPr>
        <w:t xml:space="preserve">Source: </w:t>
      </w:r>
      <w:r>
        <w:rPr>
          <w:i/>
          <w:sz w:val="20"/>
        </w:rPr>
        <w:t>White Paper cover note ("excerpt … Sections 1–5 and Section 7, omitting … Section 6 and appendices"); Complaint ¶¶ 61–#63 (March 12, 2024 letter; April 5, 2024 Response); White Paper § 7.2 ("All PathForge technology was developed independently").</w:t>
      </w:r>
    </w:p>
    <w:p>
      <w:pPr>
        <w:spacing w:after="160"/>
        <w:ind w:left="720"/>
      </w:pPr>
      <w:r>
        <w:rPr>
          <w:b/>
          <w:i/>
          <w:sz w:val="20"/>
        </w:rPr>
        <w:t xml:space="preserve">Evidentiary purpose: </w:t>
      </w:r>
      <w:r>
        <w:rPr>
          <w:i/>
          <w:sz w:val="20"/>
        </w:rPr>
        <w:t>Pins the witness to the paper’s content and surfaces any post-notice edits; the omission of Section 6 (hardware specs) and appendices is itself a scope limit to probe. Ask only about factual content and editing history, not about counsel’s advice on what to publish.</w:t>
      </w:r>
    </w:p>
    <w:p>
      <w:pPr>
        <w:pStyle w:val="Heading2"/>
      </w:pPr>
      <w:r>
        <w:t>E. Lead family 5 — DroneNav and other public sources</w:t>
      </w:r>
    </w:p>
    <w:p>
      <w:pPr>
        <w:spacing w:after="40" w:before="160"/>
        <w:ind w:left="360"/>
      </w:pPr>
      <w:r>
        <w:rPr>
          <w:b w:val="0"/>
          <w:sz w:val="22"/>
        </w:rPr>
        <w:t>14.  For the DroneNav open-source project specifically: when did you first become aware of it, did you clone the repository at github.com/dronenav/dronenav, did you run it, did you import any of its code as a dependency, and did you modify or reuse any of its modules in PathForge’s VIO pipeline?</w:t>
      </w:r>
    </w:p>
    <w:p>
      <w:pPr>
        <w:spacing w:after="40"/>
        <w:ind w:left="720"/>
      </w:pPr>
      <w:r>
        <w:rPr>
          <w:b/>
          <w:i/>
          <w:sz w:val="20"/>
        </w:rPr>
        <w:t xml:space="preserve">Source: </w:t>
      </w:r>
      <w:r>
        <w:rPr>
          <w:i/>
          <w:sz w:val="20"/>
        </w:rPr>
        <w:t>White Paper §§ 2, 4.1, 4.2, 7.2 and References #2 (DroneNav, first committed August 15, 2017); ECIAA Exhibit A (Holt’s own RoboNav at a different GitHub path, github.com/mholt-robotics/robonav-cal).</w:t>
      </w:r>
    </w:p>
    <w:p>
      <w:pPr>
        <w:spacing w:after="160"/>
        <w:ind w:left="720"/>
      </w:pPr>
      <w:r>
        <w:rPr>
          <w:b/>
          <w:i/>
          <w:sz w:val="20"/>
        </w:rPr>
        <w:t xml:space="preserve">Evidentiary purpose: </w:t>
      </w:r>
      <w:r>
        <w:rPr>
          <w:i/>
          <w:sz w:val="20"/>
        </w:rPr>
        <w:t>Applies the aware / cited / evaluated / cloned / imported / modified / used ladder to the single most consequential public source, because the White Paper credits DroneNav’s "publicly available codebase" as informing PathForge’s VIO. The ECIAA path confirms DroneNav is NOT Holt’s own RoboNav, foreclosing any blurring of the two.</w:t>
      </w:r>
    </w:p>
    <w:p>
      <w:pPr>
        <w:spacing w:after="40" w:before="160"/>
        <w:ind w:left="360"/>
      </w:pPr>
      <w:r>
        <w:rPr>
          <w:b w:val="0"/>
          <w:sz w:val="22"/>
        </w:rPr>
        <w:t>15.  For each remaining cited source — Vasquez (2016), Nakamura &amp; Okonkwo (2015), and Ferreira et al. (2016) — did PathForge merely cite and evaluate the published result, or did it implement, port, or reuse any algorithm, equation, or dataset from those works?</w:t>
      </w:r>
    </w:p>
    <w:p>
      <w:pPr>
        <w:spacing w:after="40"/>
        <w:ind w:left="720"/>
      </w:pPr>
      <w:r>
        <w:rPr>
          <w:b/>
          <w:i/>
          <w:sz w:val="20"/>
        </w:rPr>
        <w:t xml:space="preserve">Source: </w:t>
      </w:r>
      <w:r>
        <w:rPr>
          <w:i/>
          <w:sz w:val="20"/>
        </w:rPr>
        <w:t>White Paper §§ 2, 3.1, 3.2, 5.2, 7.2 and References #1, #3, #4.</w:t>
      </w:r>
    </w:p>
    <w:p>
      <w:pPr>
        <w:spacing w:after="160"/>
        <w:ind w:left="720"/>
      </w:pPr>
      <w:r>
        <w:rPr>
          <w:b/>
          <w:i/>
          <w:sz w:val="20"/>
        </w:rPr>
        <w:t xml:space="preserve">Evidentiary purpose: </w:t>
      </w:r>
      <w:r>
        <w:rPr>
          <w:i/>
          <w:sz w:val="20"/>
        </w:rPr>
        <w:t>Separates citation-of-literature (commonplace and non-infringing) from implementation/reuse, which is what matters for both the independent-development defense and any third-party-rights exposure; asks for the same verb-by-verb precision applied to DroneNav.</w:t>
      </w:r>
    </w:p>
    <w:p>
      <w:pPr>
        <w:spacing w:after="40" w:before="160"/>
        <w:ind w:left="360"/>
      </w:pPr>
      <w:r>
        <w:rPr>
          <w:b w:val="0"/>
          <w:sz w:val="22"/>
        </w:rPr>
        <w:t>16.  Beyond the four named references, what other public sources, prior art, or former-employer work influenced each module, and which of those did you never use at all?</w:t>
      </w:r>
    </w:p>
    <w:p>
      <w:pPr>
        <w:spacing w:after="40"/>
        <w:ind w:left="720"/>
      </w:pPr>
      <w:r>
        <w:rPr>
          <w:b/>
          <w:i/>
          <w:sz w:val="20"/>
        </w:rPr>
        <w:t xml:space="preserve">Source: </w:t>
      </w:r>
      <w:r>
        <w:rPr>
          <w:i/>
          <w:sz w:val="20"/>
        </w:rPr>
        <w:t>White Paper § 2 ("decades of academic research") and § 7.2; ECIAA Exhibit A (the complete disclosed prior-work list).</w:t>
      </w:r>
    </w:p>
    <w:p>
      <w:pPr>
        <w:spacing w:after="160"/>
        <w:ind w:left="720"/>
      </w:pPr>
      <w:r>
        <w:rPr>
          <w:b/>
          <w:i/>
          <w:sz w:val="20"/>
        </w:rPr>
        <w:t xml:space="preserve">Evidentiary purpose: </w:t>
      </w:r>
      <w:r>
        <w:rPr>
          <w:i/>
          <w:sz w:val="20"/>
        </w:rPr>
        <w:t>Surfaces unnamed sources and confirms the negative — what was NOT used — which is essential to bounding the independent-development narrative and to distinguishing Holt’s own RoboNav from third-party DroneNav.</w:t>
      </w:r>
    </w:p>
    <w:p>
      <w:pPr>
        <w:pStyle w:val="Heading1"/>
      </w:pPr>
      <w:r>
        <w:t>III.  Witness Category B — Meridian Technical Team</w:t>
      </w:r>
    </w:p>
    <w:p>
      <w:pPr>
        <w:spacing w:after="120" w:before="0"/>
      </w:pPr>
      <w:r>
        <w:rPr>
          <w:b w:val="0"/>
          <w:i w:val="0"/>
          <w:sz w:val="22"/>
        </w:rPr>
        <w:t>Role in this round. The technical-team witnesses (the engineers who built and tested PathForge module by module, plus anyone responsible for source control, build, release, and compliance) supply the corroborating layer beneath Dr. Holt’s account. Their purpose is to confirm, independently of Holt, the development timeline, the contributor map, the dependency and code provenance, the test and release records, and the public-source usage — precisely the categories Holt is asked about above. They are interviewed after Holt so that Holt’s specific claims can be put to them as cross-checks, and before the legal lead so that counsel’s compliance and independent-development statements can be tied to documented engineering practice.</w:t>
      </w:r>
    </w:p>
    <w:p>
      <w:pPr>
        <w:pStyle w:val="Heading2"/>
      </w:pPr>
      <w:r>
        <w:t>A. Module-level provenance, contributors, and code/dependencies</w:t>
      </w:r>
    </w:p>
    <w:p>
      <w:pPr>
        <w:spacing w:after="40" w:before="160"/>
        <w:ind w:left="360"/>
      </w:pPr>
      <w:r>
        <w:rPr>
          <w:b w:val="0"/>
          <w:sz w:val="22"/>
        </w:rPr>
        <w:t>17.  For the multi-sensor fusion module, who wrote the extended Kalman filter implementation, when was the first working prototype, and does its design trace to Vasquez (2016), to Nakamura &amp; Okonkwo (2015), to Holt’s own prior RoboNav toolkit, or to original work?</w:t>
      </w:r>
    </w:p>
    <w:p>
      <w:pPr>
        <w:spacing w:after="40"/>
        <w:ind w:left="720"/>
      </w:pPr>
      <w:r>
        <w:rPr>
          <w:b/>
          <w:i/>
          <w:sz w:val="20"/>
        </w:rPr>
        <w:t xml:space="preserve">Source: </w:t>
      </w:r>
      <w:r>
        <w:rPr>
          <w:i/>
          <w:sz w:val="20"/>
        </w:rPr>
        <w:t>White Paper §§ 1, 3.1–3.2, 7.2 (fusion prototyped Q3 2018–Q4 2019; EKF "follows the general approach established by Vasquez (2016)"); ECIAA Exhibit A (Holt’s RoboNav; Autonomous Ground Vehicle Path Planning Algorithm).</w:t>
      </w:r>
    </w:p>
    <w:p>
      <w:pPr>
        <w:spacing w:after="160"/>
        <w:ind w:left="720"/>
      </w:pPr>
      <w:r>
        <w:rPr>
          <w:b/>
          <w:i/>
          <w:sz w:val="20"/>
        </w:rPr>
        <w:t xml:space="preserve">Evidentiary purpose: </w:t>
      </w:r>
      <w:r>
        <w:rPr>
          <w:i/>
          <w:sz w:val="20"/>
        </w:rPr>
        <w:t>Asks the implementing engineer, not the CTO, to attribute the fusion module; distinguishes a literature-style citation of Vasquez from any reuse of code or of Holt’s own pre-2016 work, which ECIAA Exhibit A bounds.</w:t>
      </w:r>
    </w:p>
    <w:p>
      <w:pPr>
        <w:spacing w:after="40" w:before="160"/>
        <w:ind w:left="360"/>
      </w:pPr>
      <w:r>
        <w:rPr>
          <w:b w:val="0"/>
          <w:sz w:val="22"/>
        </w:rPr>
        <w:t>18.  For the GPS-denied VIO module, who developed the sliding-window optimizer, keyframe manager, and IMU pre-integration, and is any part derived from the DroneNav codebase rather than merely informed by it?</w:t>
      </w:r>
    </w:p>
    <w:p>
      <w:pPr>
        <w:spacing w:after="40"/>
        <w:ind w:left="720"/>
      </w:pPr>
      <w:r>
        <w:rPr>
          <w:b/>
          <w:i/>
          <w:sz w:val="20"/>
        </w:rPr>
        <w:t xml:space="preserve">Source: </w:t>
      </w:r>
      <w:r>
        <w:rPr>
          <w:i/>
          <w:sz w:val="20"/>
        </w:rPr>
        <w:t>White Paper §§ 4.2, 7.2 (VIO developed Q1 2019–Q3 2020; "DroneNav’s publicly available codebase implemented the core pipeline …"; "PathForge builds upon these established techniques").</w:t>
      </w:r>
    </w:p>
    <w:p>
      <w:pPr>
        <w:spacing w:after="160"/>
        <w:ind w:left="720"/>
      </w:pPr>
      <w:r>
        <w:rPr>
          <w:b/>
          <w:i/>
          <w:sz w:val="20"/>
        </w:rPr>
        <w:t xml:space="preserve">Evidentiary purpose: </w:t>
      </w:r>
      <w:r>
        <w:rPr>
          <w:i/>
          <w:sz w:val="20"/>
        </w:rPr>
        <w:t>Targets the module the White Paper most directly ties to a public codebase; the engineer’s answer either supports or undercuts Holt’s "developed independently" framing and feeds the aware/clone/import/modify/use ladder of Question 14.</w:t>
      </w:r>
    </w:p>
    <w:p>
      <w:pPr>
        <w:spacing w:after="40" w:before="160"/>
        <w:ind w:left="360"/>
      </w:pPr>
      <w:r>
        <w:rPr>
          <w:b w:val="0"/>
          <w:sz w:val="22"/>
        </w:rPr>
        <w:t>19.  For the swarm coordination module, who designed the mesh protocol and consensus algorithm, and does it implement anything from Ferreira et al. (2016) or from any SkyVault-era swarm work you are aware of?</w:t>
      </w:r>
    </w:p>
    <w:p>
      <w:pPr>
        <w:spacing w:after="40"/>
        <w:ind w:left="720"/>
      </w:pPr>
      <w:r>
        <w:rPr>
          <w:b/>
          <w:i/>
          <w:sz w:val="20"/>
        </w:rPr>
        <w:t xml:space="preserve">Source: </w:t>
      </w:r>
      <w:r>
        <w:rPr>
          <w:i/>
          <w:sz w:val="20"/>
        </w:rPr>
        <w:t>White Paper §§ 5.2, 7.2 (swarm designed Q2 2019–Q1 2021; cites Ferreira et al. 2016); Complaint ¶ 44 and Forensic Log Rows #10, #14, #15, #25, #26, #29 (SkyVault /SwarmProtocol space, including swarm_comm_protocol_draft_v0.9.docx and swarm_failover_logic_v1.2.py).</w:t>
      </w:r>
    </w:p>
    <w:p>
      <w:pPr>
        <w:spacing w:after="160"/>
        <w:ind w:left="720"/>
      </w:pPr>
      <w:r>
        <w:rPr>
          <w:b/>
          <w:i/>
          <w:sz w:val="20"/>
        </w:rPr>
        <w:t xml:space="preserve">Evidentiary purpose: </w:t>
      </w:r>
      <w:r>
        <w:rPr>
          <w:i/>
          <w:sz w:val="20"/>
        </w:rPr>
        <w:t>Tests whether the swarm module has an independent provenance or overlaps the SkyVault swarm materials the Forensic Log shows Holt accessing; asks the engineer to place the SkyVault swarm files relative to Meridian’s own design without assuming Holt ever carried them over.</w:t>
      </w:r>
    </w:p>
    <w:p>
      <w:pPr>
        <w:spacing w:after="40" w:before="160"/>
        <w:ind w:left="360"/>
      </w:pPr>
      <w:r>
        <w:rPr>
          <w:b w:val="0"/>
          <w:sz w:val="22"/>
        </w:rPr>
        <w:t>20.  Produce and explain the source-control history, dependency manifests, SBOM, and LICENSE/attribution files for each module, and identify any commit, branch, or vendored directory whose author, timestamp, or origin does not match the independent-development narrative.</w:t>
      </w:r>
    </w:p>
    <w:p>
      <w:pPr>
        <w:spacing w:after="40"/>
        <w:ind w:left="720"/>
      </w:pPr>
      <w:r>
        <w:rPr>
          <w:b/>
          <w:i/>
          <w:sz w:val="20"/>
        </w:rPr>
        <w:t xml:space="preserve">Source: </w:t>
      </w:r>
      <w:r>
        <w:rPr>
          <w:i/>
          <w:sz w:val="20"/>
        </w:rPr>
        <w:t>White Paper § 7.2 ("All PathForge technology was developed independently"); Response Letter (Meridian "independently developed its PathForge platform").</w:t>
      </w:r>
    </w:p>
    <w:p>
      <w:pPr>
        <w:spacing w:after="160"/>
        <w:ind w:left="720"/>
      </w:pPr>
      <w:r>
        <w:rPr>
          <w:b/>
          <w:i/>
          <w:sz w:val="20"/>
        </w:rPr>
        <w:t xml:space="preserve">Evidentiary purpose: </w:t>
      </w:r>
      <w:r>
        <w:rPr>
          <w:i/>
          <w:sz w:val="20"/>
        </w:rPr>
        <w:t>This is primarily a document-collection demand: the repository, manifests, and build records are absent from the packet, so they must be requested and then walked through with the engineer. Asks the witness to flag anomalies rather than assume the narrative.</w:t>
      </w:r>
    </w:p>
    <w:p>
      <w:pPr>
        <w:spacing w:after="40" w:before="160"/>
        <w:ind w:left="360"/>
      </w:pPr>
      <w:r>
        <w:rPr>
          <w:b w:val="0"/>
          <w:sz w:val="22"/>
        </w:rPr>
        <w:t>21.  Do you recall Dr. Holt bringing, referencing, or asking the team to consult any external documents, specifications, or prior-employer materials at any point in 2018–2019?</w:t>
      </w:r>
    </w:p>
    <w:p>
      <w:pPr>
        <w:spacing w:after="40"/>
        <w:ind w:left="720"/>
      </w:pPr>
      <w:r>
        <w:rPr>
          <w:b/>
          <w:i/>
          <w:sz w:val="20"/>
        </w:rPr>
        <w:t xml:space="preserve">Source: </w:t>
      </w:r>
      <w:r>
        <w:rPr>
          <w:i/>
          <w:sz w:val="20"/>
        </w:rPr>
        <w:t>White Paper § 7.2 (independent development); ECIAA §§ 3.1, 5.3 (confidentiality and prior-invention boundaries).</w:t>
      </w:r>
    </w:p>
    <w:p>
      <w:pPr>
        <w:spacing w:after="160"/>
        <w:ind w:left="720"/>
      </w:pPr>
      <w:r>
        <w:rPr>
          <w:b/>
          <w:i/>
          <w:sz w:val="20"/>
        </w:rPr>
        <w:t xml:space="preserve">Evidentiary purpose: </w:t>
      </w:r>
      <w:r>
        <w:rPr>
          <w:i/>
          <w:sz w:val="20"/>
        </w:rPr>
        <w:t>Open-ended confirmation question; elicits observable conduct (what Holt did or showed the team) rather than Holt’s intent. Keeps the answer to facts and avoids soliciting any opinion about legal duties, which belongs to the legal lead track.</w:t>
      </w:r>
    </w:p>
    <w:p>
      <w:pPr>
        <w:pStyle w:val="Heading2"/>
      </w:pPr>
      <w:r>
        <w:t>B. Testing, release, and the commercial-launch timeline</w:t>
      </w:r>
    </w:p>
    <w:p>
      <w:pPr>
        <w:spacing w:after="40" w:before="160"/>
        <w:ind w:left="360"/>
      </w:pPr>
      <w:r>
        <w:rPr>
          <w:b w:val="0"/>
          <w:sz w:val="22"/>
        </w:rPr>
        <w:t>22.  Where are the test plans, flight-test logs, and benchmark data behind the Section 3.3, 4.4, and 5.4 performance tables, and do the recorded dates line up with the v1.0 September 2020 launch?</w:t>
      </w:r>
    </w:p>
    <w:p>
      <w:pPr>
        <w:spacing w:after="40"/>
        <w:ind w:left="720"/>
      </w:pPr>
      <w:r>
        <w:rPr>
          <w:b/>
          <w:i/>
          <w:sz w:val="20"/>
        </w:rPr>
        <w:t xml:space="preserve">Source: </w:t>
      </w:r>
      <w:r>
        <w:rPr>
          <w:i/>
          <w:sz w:val="20"/>
        </w:rPr>
        <w:t>White Paper §§ 3.3, 4.4, 5.4 (benchmark tables) and § 7.2 (September 2020 v1.0 launch; Swarm Q1 2021; Analytics Q3 2021); Complaint ¶ 56 (launch "in or about September 2020").</w:t>
      </w:r>
    </w:p>
    <w:p>
      <w:pPr>
        <w:spacing w:after="160"/>
        <w:ind w:left="720"/>
      </w:pPr>
      <w:r>
        <w:rPr>
          <w:b/>
          <w:i/>
          <w:sz w:val="20"/>
        </w:rPr>
        <w:t xml:space="preserve">Evidentiary purpose: </w:t>
      </w:r>
      <w:r>
        <w:rPr>
          <w:i/>
          <w:sz w:val="20"/>
        </w:rPr>
        <w:t>Anchors the launch and module-release dates to test artifacts; if the 2020–2021 dates hold against dated logs, that supports a development pace independent of the 2018 file event, but only the records — not the White Paper — can establish that.</w:t>
      </w:r>
    </w:p>
    <w:p>
      <w:pPr>
        <w:spacing w:after="40" w:before="160"/>
        <w:ind w:left="360"/>
      </w:pPr>
      <w:r>
        <w:rPr>
          <w:b w:val="0"/>
          <w:sz w:val="22"/>
        </w:rPr>
        <w:t>23.  How are customer deployments counted for the "over 60 commercial customers" and revenue figures, and are those figures reconcilable with Meridian’s internal sales records?</w:t>
      </w:r>
    </w:p>
    <w:p>
      <w:pPr>
        <w:spacing w:after="40"/>
        <w:ind w:left="720"/>
      </w:pPr>
      <w:r>
        <w:rPr>
          <w:b/>
          <w:i/>
          <w:sz w:val="20"/>
        </w:rPr>
        <w:t xml:space="preserve">Source: </w:t>
      </w:r>
      <w:r>
        <w:rPr>
          <w:i/>
          <w:sz w:val="20"/>
        </w:rPr>
        <w:t>White Paper § 1 (over 60 customers); Complaint ¶¶ 12, 59 (Meridian ~112 people; Series B March 2023; &gt;$50M cumulative PathForge revenue "on information and belief").</w:t>
      </w:r>
    </w:p>
    <w:p>
      <w:pPr>
        <w:spacing w:after="160"/>
        <w:ind w:left="720"/>
      </w:pPr>
      <w:r>
        <w:rPr>
          <w:b/>
          <w:i/>
          <w:sz w:val="20"/>
        </w:rPr>
        <w:t xml:space="preserve">Evidentiary purpose: </w:t>
      </w:r>
      <w:r>
        <w:rPr>
          <w:i/>
          <w:sz w:val="20"/>
        </w:rPr>
        <w:t>Tests damages-relevant figures that the Complaint asserts on information and belief; the engineer/ops witness can confirm methodology, while the underlying financials are a separate production demand not assumed here.</w:t>
      </w:r>
    </w:p>
    <w:p>
      <w:pPr>
        <w:pStyle w:val="Heading2"/>
      </w:pPr>
      <w:r>
        <w:t>C. Compliance posture (factual layer only)</w:t>
      </w:r>
    </w:p>
    <w:p>
      <w:pPr>
        <w:spacing w:after="40" w:before="160"/>
        <w:ind w:left="360"/>
      </w:pPr>
      <w:r>
        <w:rPr>
          <w:b w:val="0"/>
          <w:sz w:val="22"/>
        </w:rPr>
        <w:t>24.  Describe Meridian’s actual onboarding and IP-compliance practices for new engineers in 2018–2019 — background checks, prior-employer obligation reviews, code-in review, and any policy against importing third-party or prior-employer code.</w:t>
      </w:r>
    </w:p>
    <w:p>
      <w:pPr>
        <w:spacing w:after="40"/>
        <w:ind w:left="720"/>
      </w:pPr>
      <w:r>
        <w:rPr>
          <w:b/>
          <w:i/>
          <w:sz w:val="20"/>
        </w:rPr>
        <w:t xml:space="preserve">Source: </w:t>
      </w:r>
      <w:r>
        <w:rPr>
          <w:i/>
          <w:sz w:val="20"/>
        </w:rPr>
        <w:t>Response Letter (Meridian "maintains robust internal compliance processes designed to safeguard against the unauthorized use of third-party intellectual property").</w:t>
      </w:r>
    </w:p>
    <w:p>
      <w:pPr>
        <w:spacing w:after="160"/>
        <w:ind w:left="720"/>
      </w:pPr>
      <w:r>
        <w:rPr>
          <w:b/>
          <w:i/>
          <w:sz w:val="20"/>
        </w:rPr>
        <w:t xml:space="preserve">Evidentiary purpose: </w:t>
      </w:r>
      <w:r>
        <w:rPr>
          <w:i/>
          <w:sz w:val="20"/>
        </w:rPr>
        <w:t>Asks for the operational reality behind counsel’s compliance assertion; keeps to observable practices (what the team did) and does not ask for counsel’s legal opinion on adequacy, which is privileged. Whether the practice was followed as to Holt specifically is a follow-up, not an assumption.</w:t>
      </w:r>
    </w:p>
    <w:p>
      <w:pPr>
        <w:pStyle w:val="Heading1"/>
      </w:pPr>
      <w:r>
        <w:t>IV.  Witness Category C — Meridian’s Legal Lead</w:t>
      </w:r>
    </w:p>
    <w:p>
      <w:pPr>
        <w:spacing w:after="120" w:before="0"/>
      </w:pPr>
      <w:r>
        <w:rPr>
          <w:b w:val="0"/>
          <w:i w:val="0"/>
          <w:sz w:val="22"/>
        </w:rPr>
        <w:t>Role in this round. The legal lead (the in-house lawyer who managed the pre-suit response and coordinates outside counsel) is the bridge between the engineering facts and Meridian’s litigation positions. The interview has two jobs: (1) reconstruct the discoverable facts of the pre-suit correspondence chain and Meridian’s institutional response; and (2) define the privilege perimeter so that, in later interviews, fact questions stay on the discoverable side of the line. Questions here are narrowly confined to events, dates, custodians, and document collection, and they expressly avoid soliciting legal advice, mental impressions, or litigation strategy, which remain protected.</w:t>
      </w:r>
    </w:p>
    <w:p>
      <w:pPr>
        <w:pStyle w:val="Heading2"/>
      </w:pPr>
      <w:r>
        <w:t>A. Lead family 6 — The pre-suit correspondence chain (facts only)</w:t>
      </w:r>
    </w:p>
    <w:p>
      <w:pPr>
        <w:spacing w:after="40" w:before="160"/>
        <w:ind w:left="360"/>
      </w:pPr>
      <w:r>
        <w:rPr>
          <w:b w:val="0"/>
          <w:sz w:val="22"/>
        </w:rPr>
        <w:t>25.  When and through whom did Meridian first receive the March 12, 2024 cease-and-desist letter, and what does the letter actually demand — without disclosing any advice about how to respond?</w:t>
      </w:r>
    </w:p>
    <w:p>
      <w:pPr>
        <w:spacing w:after="40"/>
        <w:ind w:left="720"/>
      </w:pPr>
      <w:r>
        <w:rPr>
          <w:b/>
          <w:i/>
          <w:sz w:val="20"/>
        </w:rPr>
        <w:t xml:space="preserve">Source: </w:t>
      </w:r>
      <w:r>
        <w:rPr>
          <w:i/>
          <w:sz w:val="20"/>
        </w:rPr>
        <w:t>Complaint ¶ 61 (March 12, 2024 letter from Callister, Voss &amp; Greenbaum LLP to CEO Priya Chandrasekaran; identifies the three patents; demands cessation, $15M licensing fee, and source-code forensic audit); Response Letter Re: line ("Your March 12, 2024 Correspondence").</w:t>
      </w:r>
    </w:p>
    <w:p>
      <w:pPr>
        <w:spacing w:after="160"/>
        <w:ind w:left="720"/>
      </w:pPr>
      <w:r>
        <w:rPr>
          <w:b/>
          <w:i/>
          <w:sz w:val="20"/>
        </w:rPr>
        <w:t xml:space="preserve">Evidentiary purpose: </w:t>
      </w:r>
      <w:r>
        <w:rPr>
          <w:i/>
          <w:sz w:val="20"/>
        </w:rPr>
        <w:t>Confirms receipt and the three demands from the party’s own records. Because the March 12 letter itself is not in the packet, this question and a production request are the only sanctioned way to verify its contents; attribute to the letter only what Complaint ¶ 61 and the Response Letter Re: line state, nothing more.</w:t>
      </w:r>
    </w:p>
    <w:p>
      <w:pPr>
        <w:spacing w:after="40" w:before="160"/>
        <w:ind w:left="360"/>
      </w:pPr>
      <w:r>
        <w:rPr>
          <w:b w:val="0"/>
          <w:sz w:val="22"/>
        </w:rPr>
        <w:t>26.  Who decided the substance of the April 5, 2024 Response Letter, and which Meridian personnel were involved in gathering the factual basis for the denials — identifying people and dates, not the legal reasoning?</w:t>
      </w:r>
    </w:p>
    <w:p>
      <w:pPr>
        <w:spacing w:after="40"/>
        <w:ind w:left="720"/>
      </w:pPr>
      <w:r>
        <w:rPr>
          <w:b/>
          <w:i/>
          <w:sz w:val="20"/>
        </w:rPr>
        <w:t xml:space="preserve">Source: </w:t>
      </w:r>
      <w:r>
        <w:rPr>
          <w:i/>
          <w:sz w:val="20"/>
        </w:rPr>
        <w:t>Response Letter (April 5, 2024; Brackwell &amp; Haines LLP; cc: Jordan Kessler, VP of Legal); Response Letter body (denies infringement, trade-secret, and copyright claims; asserts independent development and "robust internal compliance processes"; declines each of the three demands).</w:t>
      </w:r>
    </w:p>
    <w:p>
      <w:pPr>
        <w:spacing w:after="160"/>
        <w:ind w:left="720"/>
      </w:pPr>
      <w:r>
        <w:rPr>
          <w:b/>
          <w:i/>
          <w:sz w:val="20"/>
        </w:rPr>
        <w:t xml:space="preserve">Evidentiary purpose: </w:t>
      </w:r>
      <w:r>
        <w:rPr>
          <w:i/>
          <w:sz w:val="20"/>
        </w:rPr>
        <w:t>Maps the human process behind the response so the denials and the independent-development and compliance statements can be traced to the engineers and documents that actually support them. Confine the answer to identities, dates, and which facts were gathered; the legal judgment of what to deny is privileged.</w:t>
      </w:r>
    </w:p>
    <w:p>
      <w:pPr>
        <w:spacing w:after="40" w:before="160"/>
        <w:ind w:left="360"/>
      </w:pPr>
      <w:r>
        <w:rPr>
          <w:b w:val="0"/>
          <w:sz w:val="22"/>
        </w:rPr>
        <w:t>27.  Which Meridian documents, repositories, and communications were collected or held in connection with the cease-and-desist response, and who are the custodians?</w:t>
      </w:r>
    </w:p>
    <w:p>
      <w:pPr>
        <w:spacing w:after="40"/>
        <w:ind w:left="720"/>
      </w:pPr>
      <w:r>
        <w:rPr>
          <w:b/>
          <w:i/>
          <w:sz w:val="20"/>
        </w:rPr>
        <w:t xml:space="preserve">Source: </w:t>
      </w:r>
      <w:r>
        <w:rPr>
          <w:i/>
          <w:sz w:val="20"/>
        </w:rPr>
        <w:t>Response Letter (Meridian declines the source-code forensic audit as "premature, overbroad, and without legal basis outside of formal litigation"); Complaint ¶¶ 61, 63 (audit demand; continued marketing after notice).</w:t>
      </w:r>
    </w:p>
    <w:p>
      <w:pPr>
        <w:spacing w:after="160"/>
        <w:ind w:left="720"/>
      </w:pPr>
      <w:r>
        <w:rPr>
          <w:b/>
          <w:i/>
          <w:sz w:val="20"/>
        </w:rPr>
        <w:t xml:space="preserve">Evidentiary purpose: </w:t>
      </w:r>
      <w:r>
        <w:rPr>
          <w:i/>
          <w:sz w:val="20"/>
        </w:rPr>
        <w:t>Asks only for the existence and custodians of potentially relevant materials — a discovery/production question — not for any work-product analysis of them. This is where the missing personnel file, code repository, build/test records, and internal communications (absent from the packet) get converted into a defensible collection plan.</w:t>
      </w:r>
    </w:p>
    <w:p>
      <w:pPr>
        <w:spacing w:after="40" w:before="160"/>
        <w:ind w:left="360"/>
      </w:pPr>
      <w:r>
        <w:rPr>
          <w:b w:val="0"/>
          <w:sz w:val="22"/>
        </w:rPr>
        <w:t>28.  What is the factual status of the "good-faith discussions" offer in the Response Letter — was any meeting scheduled, and are there any non-privileged logistics records of it?</w:t>
      </w:r>
    </w:p>
    <w:p>
      <w:pPr>
        <w:spacing w:after="40"/>
        <w:ind w:left="720"/>
      </w:pPr>
      <w:r>
        <w:rPr>
          <w:b/>
          <w:i/>
          <w:sz w:val="20"/>
        </w:rPr>
        <w:t xml:space="preserve">Source: </w:t>
      </w:r>
      <w:r>
        <w:rPr>
          <w:i/>
          <w:sz w:val="20"/>
        </w:rPr>
        <w:t>Response Letter ("Meridian remains willing to engage in good-faith discussions … on a without-prejudice basis"); Complaint ¶ 63 (Meridian continued selling PathForge after notice).</w:t>
      </w:r>
    </w:p>
    <w:p>
      <w:pPr>
        <w:spacing w:after="160"/>
        <w:ind w:left="720"/>
      </w:pPr>
      <w:r>
        <w:rPr>
          <w:b/>
          <w:i/>
          <w:sz w:val="20"/>
        </w:rPr>
        <w:t xml:space="preserve">Evidentiary purpose: </w:t>
      </w:r>
      <w:r>
        <w:rPr>
          <w:i/>
          <w:sz w:val="20"/>
        </w:rPr>
        <w:t>Captures the discoverable fact of whether settlement outreach occurred, without probing settlement substance, which is protected. Also frames the willfulness allegation in Complaint ¶ 63 (continued commerce after notice) as a factual event to document.</w:t>
      </w:r>
    </w:p>
    <w:p>
      <w:pPr>
        <w:pStyle w:val="Heading2"/>
      </w:pPr>
      <w:r>
        <w:t>B. Privilege perimeter for the interviews</w:t>
      </w:r>
    </w:p>
    <w:p>
      <w:pPr>
        <w:spacing w:after="40" w:before="160"/>
        <w:ind w:left="360"/>
      </w:pPr>
      <w:r>
        <w:rPr>
          <w:b w:val="0"/>
          <w:sz w:val="22"/>
        </w:rPr>
        <w:t>29.  Confirm, for each prior interview and this one, which communications are protected as attorney-client or work product, so we can instruct fact witnesses to answer only observable facts and route legal-content questions back to you.</w:t>
      </w:r>
    </w:p>
    <w:p>
      <w:pPr>
        <w:spacing w:after="40"/>
        <w:ind w:left="720"/>
      </w:pPr>
      <w:r>
        <w:rPr>
          <w:b/>
          <w:i/>
          <w:sz w:val="20"/>
        </w:rPr>
        <w:t xml:space="preserve">Source: </w:t>
      </w:r>
      <w:r>
        <w:rPr>
          <w:i/>
          <w:sz w:val="20"/>
        </w:rPr>
        <w:t>Response Letter (counsel-authored litigation position); Forensic Log metadata ("CONFIDENTIAL — ATTORNEY WORK PRODUCT / PREPARED IN ANTICIPATION OF LITIGATION").</w:t>
      </w:r>
    </w:p>
    <w:p>
      <w:pPr>
        <w:spacing w:after="160"/>
        <w:ind w:left="720"/>
      </w:pPr>
      <w:r>
        <w:rPr>
          <w:b/>
          <w:i/>
          <w:sz w:val="20"/>
        </w:rPr>
        <w:t xml:space="preserve">Evidentiary purpose: </w:t>
      </w:r>
      <w:r>
        <w:rPr>
          <w:i/>
          <w:sz w:val="20"/>
        </w:rPr>
        <w:t>Procedural question that sets the privilege boundary for the whole program; the Forensic Log’s own work-product label is the cautionary example of how SkyVault’s forensic material is protected on its side, and the Response Letter is the parallel on Meridian’s side. Ask for the protocol, not for protected content.</w:t>
      </w:r>
    </w:p>
    <w:p>
      <w:pPr>
        <w:pStyle w:val="Heading1"/>
      </w:pPr>
      <w:r>
        <w:t>V.  Recommended Interview Sequence</w:t>
      </w:r>
    </w:p>
    <w:p>
      <w:pPr>
        <w:spacing w:after="120" w:before="0"/>
      </w:pPr>
      <w:r>
        <w:rPr>
          <w:b w:val="0"/>
          <w:i w:val="0"/>
          <w:sz w:val="22"/>
        </w:rPr>
        <w:t>Recommended order: (1) Dr. Marcus Holt first; (2) the Meridian technical team second; and (3) the Meridian legal lead last. This is offered as a defensible sequence, not the only defensible one.</w:t>
      </w:r>
    </w:p>
    <w:p>
      <w:pPr>
        <w:spacing w:after="120" w:before="0"/>
      </w:pPr>
      <w:r>
        <w:rPr>
          <w:b/>
          <w:i w:val="0"/>
          <w:sz w:val="22"/>
        </w:rPr>
        <w:t xml:space="preserve">First — Dr. Marcus Holt. </w:t>
      </w:r>
      <w:r>
        <w:rPr>
          <w:b w:val="0"/>
          <w:i w:val="0"/>
          <w:sz w:val="22"/>
        </w:rPr>
        <w:t>Holt owns every factual thread: the SkyVault tenure and access (Lead family 1), the pre-employment disclosures (family 2), the PathForge start (family 3), the White Paper authorship (family 4), and the public-source usage (family 5). Interviewing him first fixes his version of dates, contributors, and provenance before anyone else is asked to corroborate them. His account becomes the benchmark.</w:t>
      </w:r>
    </w:p>
    <w:p>
      <w:pPr>
        <w:spacing w:after="120" w:before="0"/>
      </w:pPr>
      <w:r>
        <w:rPr>
          <w:b/>
          <w:i w:val="0"/>
          <w:sz w:val="22"/>
        </w:rPr>
        <w:t xml:space="preserve">Second — Meridian technical team. </w:t>
      </w:r>
      <w:r>
        <w:rPr>
          <w:b w:val="0"/>
          <w:i w:val="0"/>
          <w:sz w:val="22"/>
        </w:rPr>
        <w:t>Because Holt is interviewed first, his specific claims (e.g., "I alone prototyped the fusion module in Q3 2018," "DroneNav was cited but never imported," "the swarm protocol derives from Ferreira et al., not SkyVault") can be put directly to the engineers who built and tested each module and who control the repository, manifests, and test logs. This produces immediate cross-checks and surfaces the documents to be collected — the repository, SBOM, and release records the packet lacks — before the legal lead has to speak to positions.</w:t>
      </w:r>
    </w:p>
    <w:p>
      <w:pPr>
        <w:spacing w:after="120" w:before="0"/>
      </w:pPr>
      <w:r>
        <w:rPr>
          <w:b/>
          <w:i w:val="0"/>
          <w:sz w:val="22"/>
        </w:rPr>
        <w:t xml:space="preserve">Last — Meridian’s legal lead. </w:t>
      </w:r>
      <w:r>
        <w:rPr>
          <w:b w:val="0"/>
          <w:i w:val="0"/>
          <w:sz w:val="22"/>
        </w:rPr>
        <w:t>By the time counsel is interviewed, the fact record is as developed as it can be without litigation, so the pre-suit correspondence chain (family 6) can be reconstructed against known facts rather than in a vacuum, and the privilege perimeter can be drawn with full knowledge of what fact witnesses were actually asked. Placing the legal lead last also keeps protected communications and strategy out of the early, broadly-scoped fact interviews, where they are hardest to un-ring. The trade-off — counsel is involved in scoping from day one in any real engagement — is addressed by treating the legal lead’s interview as a formal reconstruction and privilege-protocol step rather than the first conversation about the matter.</w:t>
      </w:r>
    </w:p>
    <w:p>
      <w:pPr>
        <w:spacing w:after="120" w:before="0"/>
      </w:pPr>
      <w:r>
        <w:rPr>
          <w:b w:val="0"/>
          <w:i w:val="0"/>
          <w:sz w:val="22"/>
        </w:rPr>
        <w:t>Sequencing rationale in one line: Holt sets the factual claims, the technical team verifies them against the code and records, and the legal lead reconciles the verified record with the positions already taken in the April 5, 2024 Response Letter — each step stress-testing the one before it.</w:t>
      </w:r>
    </w:p>
    <w:p>
      <w:pPr>
        <w:spacing w:after="80" w:before="0"/>
      </w:pPr>
      <w:r>
        <w:rPr>
          <w:b w:val="0"/>
          <w:i w:val="0"/>
          <w:sz w:val="22"/>
        </w:rPr>
      </w:r>
    </w:p>
    <w:p>
      <w:pPr>
        <w:spacing w:after="120" w:before="0"/>
        <w:jc w:val="center"/>
      </w:pPr>
      <w:r>
        <w:rPr>
          <w:b w:val="0"/>
          <w:i/>
          <w:sz w:val="22"/>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