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0" w:firstLine="0"/>
        <w:jc w:val="center"/>
      </w:pPr>
      <w:r>
        <w:rPr>
          <w:b/>
          <w:i w:val="0"/>
          <w:sz w:val="20"/>
        </w:rPr>
        <w:t>PRIVILEGED AND CONFIDENTIAL — ATTORNEY WORK PRODUCT</w:t>
      </w:r>
    </w:p>
    <w:p>
      <w:pPr>
        <w:spacing w:before="0" w:after="280"/>
        <w:ind w:left="0" w:firstLine="0"/>
        <w:jc w:val="center"/>
      </w:pPr>
      <w:r>
        <w:rPr>
          <w:b/>
          <w:i w:val="0"/>
          <w:sz w:val="20"/>
        </w:rPr>
        <w:t>PREPARED IN ANTICIPATION OF LITIGATION — ATTORNEY–CLIENT COMMUNICATION</w:t>
      </w:r>
    </w:p>
    <w:p>
      <w:pPr>
        <w:spacing w:before="0" w:after="240"/>
        <w:ind w:left="0" w:firstLine="0"/>
        <w:jc w:val="center"/>
      </w:pPr>
      <w:r>
        <w:rPr>
          <w:b/>
          <w:i w:val="0"/>
          <w:sz w:val="28"/>
        </w:rPr>
        <w:t>MEMORANDUM</w:t>
      </w:r>
    </w:p>
    <w:tbl>
      <w:tblPr>
        <w:tblW w:type="auto" w:w="0"/>
        <w:jc w:val="left"/>
        <w:tblLook w:firstColumn="1" w:firstRow="1" w:lastColumn="0" w:lastRow="0" w:noHBand="0" w:noVBand="1" w:val="04A0"/>
      </w:tblPr>
      <w:tblGrid>
        <w:gridCol w:w="1296"/>
        <w:gridCol w:w="7920"/>
      </w:tblGrid>
      <w:tr>
        <w:tc>
          <w:tcPr>
            <w:tcW w:type="dxa" w:w="4536"/>
          </w:tcPr>
          <w:p>
            <w:pPr>
              <w:spacing w:after="60"/>
            </w:pPr>
            <w:r/>
            <w:r>
              <w:rPr>
                <w:b/>
                <w:sz w:val="20"/>
              </w:rPr>
              <w:t>TO:</w:t>
            </w:r>
          </w:p>
        </w:tc>
        <w:tc>
          <w:tcPr>
            <w:tcW w:type="dxa" w:w="4536"/>
          </w:tcPr>
          <w:p>
            <w:pPr>
              <w:spacing w:after="60"/>
            </w:pPr>
            <w:r/>
            <w:r>
              <w:rPr>
                <w:sz w:val="20"/>
              </w:rPr>
              <w:t>Engaging Partner, Intellectual Property Litigation Group</w:t>
            </w:r>
          </w:p>
        </w:tc>
      </w:tr>
      <w:tr>
        <w:tc>
          <w:tcPr>
            <w:tcW w:type="dxa" w:w="4536"/>
          </w:tcPr>
          <w:p>
            <w:pPr>
              <w:spacing w:after="60"/>
            </w:pPr>
            <w:r/>
            <w:r>
              <w:rPr>
                <w:b/>
                <w:sz w:val="20"/>
              </w:rPr>
              <w:t>FROM:</w:t>
            </w:r>
          </w:p>
        </w:tc>
        <w:tc>
          <w:tcPr>
            <w:tcW w:type="dxa" w:w="4536"/>
          </w:tcPr>
          <w:p>
            <w:pPr>
              <w:spacing w:after="60"/>
            </w:pPr>
            <w:r/>
            <w:r>
              <w:rPr>
                <w:sz w:val="20"/>
              </w:rPr>
              <w:t>Associate Team — Meridian Dynamics / SkyVault Internal Fact Investigation</w:t>
            </w:r>
          </w:p>
        </w:tc>
      </w:tr>
      <w:tr>
        <w:tc>
          <w:tcPr>
            <w:tcW w:type="dxa" w:w="4536"/>
          </w:tcPr>
          <w:p>
            <w:pPr>
              <w:spacing w:after="60"/>
            </w:pPr>
            <w:r/>
            <w:r>
              <w:rPr>
                <w:b/>
                <w:sz w:val="20"/>
              </w:rPr>
              <w:t>DATE:</w:t>
            </w:r>
          </w:p>
        </w:tc>
        <w:tc>
          <w:tcPr>
            <w:tcW w:type="dxa" w:w="4536"/>
          </w:tcPr>
          <w:p>
            <w:pPr>
              <w:spacing w:after="60"/>
            </w:pPr>
            <w:r/>
            <w:r>
              <w:rPr>
                <w:sz w:val="20"/>
              </w:rPr>
              <w:t>September 20, 2026</w:t>
            </w:r>
          </w:p>
        </w:tc>
      </w:tr>
      <w:tr>
        <w:tc>
          <w:tcPr>
            <w:tcW w:type="dxa" w:w="4536"/>
          </w:tcPr>
          <w:p>
            <w:pPr>
              <w:spacing w:after="60"/>
            </w:pPr>
            <w:r/>
            <w:r>
              <w:rPr>
                <w:b/>
                <w:sz w:val="20"/>
              </w:rPr>
              <w:t>RE:</w:t>
            </w:r>
          </w:p>
        </w:tc>
        <w:tc>
          <w:tcPr>
            <w:tcW w:type="dxa" w:w="4536"/>
          </w:tcPr>
          <w:p>
            <w:pPr>
              <w:spacing w:after="60"/>
            </w:pPr>
            <w:r/>
            <w:r>
              <w:rPr>
                <w:sz w:val="20"/>
              </w:rPr>
              <w:t>Witness-Interview Outline and Preparation Memorandum — Privileged Internal Fact Investigation Concerning Allegations of SkyVault Technologies LLC (SkyVault Technologies LLC v. Meridian Dynamics, Inc., No. 2:24-cv-00817-JRG (E.D. Tex.))</w:t>
            </w:r>
          </w:p>
        </w:tc>
      </w:tr>
      <w:tr>
        <w:tc>
          <w:tcPr>
            <w:tcW w:type="dxa" w:w="4536"/>
          </w:tcPr>
          <w:p>
            <w:pPr>
              <w:spacing w:after="60"/>
            </w:pPr>
            <w:r/>
            <w:r>
              <w:rPr>
                <w:b/>
                <w:sz w:val="20"/>
              </w:rPr>
              <w:t>CLIENT:</w:t>
            </w:r>
          </w:p>
        </w:tc>
        <w:tc>
          <w:tcPr>
            <w:tcW w:type="dxa" w:w="4536"/>
          </w:tcPr>
          <w:p>
            <w:pPr>
              <w:spacing w:after="60"/>
            </w:pPr>
            <w:r/>
            <w:r>
              <w:rPr>
                <w:sz w:val="20"/>
              </w:rPr>
              <w:t>Meridian Dynamics, Inc.</w:t>
            </w:r>
          </w:p>
        </w:tc>
      </w:tr>
    </w:tbl>
    <w:p>
      <w:pPr>
        <w:spacing w:before="0" w:after="80"/>
        <w:ind w:left="0" w:firstLine="0"/>
      </w:pPr>
    </w:p>
    <w:p>
      <w:pPr>
        <w:spacing w:before="0" w:after="200"/>
        <w:ind w:left="0" w:firstLine="0"/>
      </w:pPr>
      <w:r>
        <w:rPr>
          <w:b w:val="0"/>
          <w:i w:val="0"/>
          <w:sz w:val="22"/>
        </w:rPr>
        <w:t>__________________________________________________________________________________</w:t>
      </w:r>
    </w:p>
    <w:p>
      <w:pPr>
        <w:pStyle w:val="Heading1"/>
      </w:pPr>
      <w:r>
        <w:t>I.  Purpose, Scope and Limits of This Memorandum</w:t>
      </w:r>
    </w:p>
    <w:p>
      <w:pPr>
        <w:spacing w:before="0" w:after="120"/>
        <w:ind w:left="0" w:firstLine="0"/>
      </w:pPr>
      <w:r>
        <w:rPr>
          <w:b w:val="0"/>
          <w:i w:val="0"/>
          <w:sz w:val="22"/>
        </w:rPr>
        <w:t>This memorandum sets out an interview plan for the three categories of witnesses available to us at this stage of the privileged internal fact investigation: (1) Dr. Marcus Holt, Meridian's Chief Technology Officer and co-founder; (2) the Meridian technical team responsible for the PathForge platform; and (3) Meridian's legal lead. For each category it states the witness's role in this round of interviews and then sets out questions that can be asked aloud, each annotated with the source material that generates the question and the evidentiary purpose the answer is meant to serve.</w:t>
      </w:r>
    </w:p>
    <w:p>
      <w:pPr>
        <w:spacing w:before="0" w:after="120"/>
        <w:ind w:left="0" w:firstLine="0"/>
      </w:pPr>
      <w:r>
        <w:rPr>
          <w:b w:val="0"/>
          <w:i w:val="0"/>
          <w:sz w:val="22"/>
        </w:rPr>
        <w:t>This is an interview-design document only. It is not testimony, not a pleading, not an infringement or non-infringement comparison, not a settlement communication, and not an opinion on the merits of any claim or defense. No question below should be read as an assertion that the underlying allegation is true or false. Several questions are deliberately framed to elicit facts that are unhelpful to Meridian; that is the point of an internal investigation conducted under privilege.</w:t>
      </w:r>
    </w:p>
    <w:p>
      <w:pPr>
        <w:spacing w:before="0" w:after="120"/>
        <w:ind w:left="0" w:firstLine="0"/>
      </w:pPr>
      <w:r>
        <w:rPr>
          <w:b w:val="0"/>
          <w:i w:val="0"/>
          <w:sz w:val="22"/>
        </w:rPr>
        <w:t>Five materials are available to us and are the only sources of case facts used below: (1) skyvault-complaint.docx; (2) exhibit-f-forensic-log.xlsx; (3) holt-eciaa-agreement.docx; (4) pathforge-whitepaper-excerpt.docx; and (5) meridian-cd-response.docx. Citation conventions used throughout: Complaint paragraphs are cited as ¶ __; Exhibit F is cited by worksheet, by the value in the “Row #” column, and where useful by the underlying worksheet row, event type and timestamp; the ECIAA is cited by section and by Exhibit A where applicable; the white paper is cited by its internal section numbers and tables; and the Meridian response is cited by date and paragraph position.</w:t>
      </w:r>
    </w:p>
    <w:p>
      <w:pPr>
        <w:pStyle w:val="Heading1"/>
      </w:pPr>
      <w:r>
        <w:t>II.  Evidentiary Posture of the Five Available Materials</w:t>
      </w:r>
    </w:p>
    <w:p>
      <w:pPr>
        <w:spacing w:before="0" w:after="120"/>
        <w:ind w:left="0" w:firstLine="0"/>
      </w:pPr>
      <w:r>
        <w:rPr>
          <w:b w:val="0"/>
          <w:i w:val="0"/>
          <w:sz w:val="22"/>
        </w:rPr>
        <w:t>Before any interview is conducted, interviewers must hold a disciplined view of what each document can and cannot prove. The recurring error in a matter of this shape is to let the existence of a document be treated as proof of the proposition the document describes. The table below states the limits we will observe.</w:t>
      </w:r>
    </w:p>
    <w:tbl>
      <w:tblPr>
        <w:tblStyle w:val="TableGrid"/>
        <w:tblW w:type="auto" w:w="0"/>
        <w:jc w:val="center"/>
        <w:tblLook w:firstColumn="1" w:firstRow="1" w:lastColumn="0" w:lastRow="0" w:noHBand="0" w:noVBand="1" w:val="04A0"/>
      </w:tblPr>
      <w:tblGrid>
        <w:gridCol w:w="3024"/>
        <w:gridCol w:w="3024"/>
        <w:gridCol w:w="3024"/>
      </w:tblGrid>
      <w:tr>
        <w:tc>
          <w:tcPr>
            <w:tcW w:type="dxa" w:w="2088"/>
          </w:tcPr>
          <w:p>
            <w:r/>
            <w:r>
              <w:rPr>
                <w:b/>
                <w:sz w:val="19"/>
              </w:rPr>
              <w:t>Material</w:t>
            </w:r>
          </w:p>
        </w:tc>
        <w:tc>
          <w:tcPr>
            <w:tcW w:type="dxa" w:w="2808"/>
          </w:tcPr>
          <w:p>
            <w:r/>
            <w:r>
              <w:rPr>
                <w:b/>
                <w:sz w:val="19"/>
              </w:rPr>
              <w:t>What it actually is</w:t>
            </w:r>
          </w:p>
        </w:tc>
        <w:tc>
          <w:tcPr>
            <w:tcW w:type="dxa" w:w="4320"/>
          </w:tcPr>
          <w:p>
            <w:r/>
            <w:r>
              <w:rPr>
                <w:b/>
                <w:sz w:val="19"/>
              </w:rPr>
              <w:t>What it cannot be treated as establishing</w:t>
            </w:r>
          </w:p>
        </w:tc>
      </w:tr>
      <w:tr>
        <w:tc>
          <w:tcPr>
            <w:tcW w:type="dxa" w:w="2088"/>
          </w:tcPr>
          <w:p>
            <w:pPr>
              <w:spacing w:after="40"/>
            </w:pPr>
            <w:r/>
            <w:r>
              <w:rPr>
                <w:sz w:val="19"/>
              </w:rPr>
              <w:t>skyvault-complaint.docx</w:t>
            </w:r>
          </w:p>
        </w:tc>
        <w:tc>
          <w:tcPr>
            <w:tcW w:type="dxa" w:w="2808"/>
          </w:tcPr>
          <w:p>
            <w:pPr>
              <w:spacing w:after="40"/>
            </w:pPr>
            <w:r/>
            <w:r>
              <w:rPr>
                <w:sz w:val="19"/>
              </w:rPr>
              <w:t>SkyVault's pleaded allegations, filed October 2, 2024. Numerous paragraphs are expressly pleaded “on information and belief” (e.g., ¶¶ 49, 54, 55, 69, 78, 86, 119, 120).</w:t>
            </w:r>
          </w:p>
        </w:tc>
        <w:tc>
          <w:tcPr>
            <w:tcW w:type="dxa" w:w="4320"/>
          </w:tcPr>
          <w:p>
            <w:pPr>
              <w:spacing w:after="40"/>
            </w:pPr>
            <w:r/>
            <w:r>
              <w:rPr>
                <w:sz w:val="19"/>
              </w:rPr>
              <w:t>Any fact of misuse, copying, access, awareness of a patent application, or damages. A claim chart (following ¶ 67) is attorney argument, not a technical finding.</w:t>
            </w:r>
          </w:p>
        </w:tc>
      </w:tr>
      <w:tr>
        <w:tc>
          <w:tcPr>
            <w:tcW w:type="dxa" w:w="2088"/>
          </w:tcPr>
          <w:p>
            <w:pPr>
              <w:spacing w:after="40"/>
            </w:pPr>
            <w:r/>
            <w:r>
              <w:rPr>
                <w:sz w:val="19"/>
              </w:rPr>
              <w:t>exhibit-f-forensic-log.xlsx</w:t>
            </w:r>
          </w:p>
        </w:tc>
        <w:tc>
          <w:tcPr>
            <w:tcW w:type="dxa" w:w="2808"/>
          </w:tcPr>
          <w:p>
            <w:pPr>
              <w:spacing w:after="40"/>
            </w:pPr>
            <w:r/>
            <w:r>
              <w:rPr>
                <w:sz w:val="19"/>
              </w:rPr>
              <w:t>A SkyVault-side, examiner-selected excerpt of events for the single account ‘mholt,’ prepared by Hargrove Forensics Group for SkyVault's counsel and labeled attorney work product (Report Metadata, B4–B5, B14).</w:t>
            </w:r>
          </w:p>
        </w:tc>
        <w:tc>
          <w:tcPr>
            <w:tcW w:type="dxa" w:w="4320"/>
          </w:tcPr>
          <w:p>
            <w:pPr>
              <w:spacing w:after="40"/>
            </w:pPr>
            <w:r/>
            <w:r>
              <w:rPr>
                <w:sz w:val="19"/>
              </w:rPr>
              <w:t>Complete forensic data; the identity or content of any transferred file; authorization or lack of it; any connection between the USB device and Meridian; or Holt's intent.</w:t>
            </w:r>
          </w:p>
        </w:tc>
      </w:tr>
      <w:tr>
        <w:tc>
          <w:tcPr>
            <w:tcW w:type="dxa" w:w="2088"/>
          </w:tcPr>
          <w:p>
            <w:pPr>
              <w:spacing w:after="40"/>
            </w:pPr>
            <w:r/>
            <w:r>
              <w:rPr>
                <w:sz w:val="19"/>
              </w:rPr>
              <w:t>holt-eciaa-agreement.docx</w:t>
            </w:r>
          </w:p>
        </w:tc>
        <w:tc>
          <w:tcPr>
            <w:tcW w:type="dxa" w:w="2808"/>
          </w:tcPr>
          <w:p>
            <w:pPr>
              <w:spacing w:after="40"/>
            </w:pPr>
            <w:r/>
            <w:r>
              <w:rPr>
                <w:sz w:val="19"/>
              </w:rPr>
              <w:t>The contract terms governing Holt's SkyVault employment, plus Exhibit A, his prior-inventions disclosure, initialed “M.H.” and dated June 13, 2016.</w:t>
            </w:r>
          </w:p>
        </w:tc>
        <w:tc>
          <w:tcPr>
            <w:tcW w:type="dxa" w:w="4320"/>
          </w:tcPr>
          <w:p>
            <w:pPr>
              <w:spacing w:after="40"/>
            </w:pPr>
            <w:r/>
            <w:r>
              <w:rPr>
                <w:sz w:val="19"/>
              </w:rPr>
              <w:t>Breach, performance, or the factual scope of the excluded prior inventions. The copy in our file bears unexecuted signature lines and requires authentication.</w:t>
            </w:r>
          </w:p>
        </w:tc>
      </w:tr>
      <w:tr>
        <w:tc>
          <w:tcPr>
            <w:tcW w:type="dxa" w:w="2088"/>
          </w:tcPr>
          <w:p>
            <w:pPr>
              <w:spacing w:after="40"/>
            </w:pPr>
            <w:r/>
            <w:r>
              <w:rPr>
                <w:sz w:val="19"/>
              </w:rPr>
              <w:t>pathforge-whitepaper-excerpt.docx</w:t>
            </w:r>
          </w:p>
        </w:tc>
        <w:tc>
          <w:tcPr>
            <w:tcW w:type="dxa" w:w="2808"/>
          </w:tcPr>
          <w:p>
            <w:pPr>
              <w:spacing w:after="40"/>
            </w:pPr>
            <w:r/>
            <w:r>
              <w:rPr>
                <w:sz w:val="19"/>
              </w:rPr>
              <w:t>A 2022 public technical and marketing statement, self-classified “Public Release / Marketing Technical Paper,” and expressly an excerpt of a 42-page document.</w:t>
            </w:r>
          </w:p>
        </w:tc>
        <w:tc>
          <w:tcPr>
            <w:tcW w:type="dxa" w:w="4320"/>
          </w:tcPr>
          <w:p>
            <w:pPr>
              <w:spacing w:after="40"/>
            </w:pPr>
            <w:r/>
            <w:r>
              <w:rPr>
                <w:sz w:val="19"/>
              </w:rPr>
              <w:t>The as-built architecture of PathForge, independent development, the accuracy of its performance figures, or the completeness of its provenance narrative (§ 7.2).</w:t>
            </w:r>
          </w:p>
        </w:tc>
      </w:tr>
      <w:tr>
        <w:tc>
          <w:tcPr>
            <w:tcW w:type="dxa" w:w="2088"/>
          </w:tcPr>
          <w:p>
            <w:pPr>
              <w:spacing w:after="40"/>
            </w:pPr>
            <w:r/>
            <w:r>
              <w:rPr>
                <w:sz w:val="19"/>
              </w:rPr>
              <w:t>meridian-cd-response.docx</w:t>
            </w:r>
          </w:p>
        </w:tc>
        <w:tc>
          <w:tcPr>
            <w:tcW w:type="dxa" w:w="2808"/>
          </w:tcPr>
          <w:p>
            <w:pPr>
              <w:spacing w:after="40"/>
            </w:pPr>
            <w:r/>
            <w:r>
              <w:rPr>
                <w:sz w:val="19"/>
              </w:rPr>
              <w:t>Outside counsel's April 5, 2024 letter on Meridian's behalf — a party position asserting non-infringement, denial, independent development, and “robust internal compliance processes,” and declining all three demands.</w:t>
            </w:r>
          </w:p>
        </w:tc>
        <w:tc>
          <w:tcPr>
            <w:tcW w:type="dxa" w:w="4320"/>
          </w:tcPr>
          <w:p>
            <w:pPr>
              <w:spacing w:after="40"/>
            </w:pPr>
            <w:r/>
            <w:r>
              <w:rPr>
                <w:sz w:val="19"/>
              </w:rPr>
              <w:t>Proof of independent development or of compliance. Counsel's assertions require factual substantiation from records and witnesses before we rely on them anywhere.</w:t>
            </w:r>
          </w:p>
        </w:tc>
      </w:tr>
    </w:tbl>
    <w:p>
      <w:pPr>
        <w:spacing w:before="0" w:after="160"/>
        <w:ind w:left="0" w:firstLine="0"/>
      </w:pPr>
    </w:p>
    <w:p>
      <w:pPr>
        <w:spacing w:before="0" w:after="120"/>
        <w:ind w:left="0" w:firstLine="0"/>
      </w:pPr>
      <w:r>
        <w:rPr>
          <w:b w:val="0"/>
          <w:i w:val="0"/>
          <w:sz w:val="22"/>
        </w:rPr>
        <w:t>Two further limits apply throughout. First, SkyVault's March 12, 2024 cease-and-desist letter is not in our file. Nothing may be attributed to it beyond what is recorded in Complaint ¶ 61 (its date; that it was addressed to CEO Priya Chandrasekaran in Austin; that it identified the '561, '227 and '889 Patents; that it described trade-secret and copyright claims; and that it made three demands) and what the April 5, 2024 response letter states about it. Second, the personnel file, source-code repositories, development records, preservation and hold records, internal communications, compliance materials, complete forensic images, and any technical comparison of PathForge against AeroCore or the patents-in-suit are all absent from our file. Every one of those gaps is pursued below as an interview-confirmation question or a document-collection request, and none is treated as an established fact.</w:t>
      </w:r>
    </w:p>
    <w:p>
      <w:pPr>
        <w:pStyle w:val="Heading1"/>
      </w:pPr>
      <w:r>
        <w:t>III.  Ground Rules for Interviewers</w:t>
      </w:r>
    </w:p>
    <w:p>
      <w:pPr>
        <w:pStyle w:val="ListBullet"/>
        <w:spacing w:after="60"/>
        <w:ind w:left="864"/>
      </w:pPr>
      <w:r>
        <w:t>Upjohn warnings at the top of every interview. State that we represent Meridian Dynamics, Inc. and not the individual; that the interview is conducted so counsel can give legal advice to the company; that the privilege belongs to the company and only the company may waive it; and that the witness should keep the discussion confidential. Record that the warning was given and acknowledged.</w:t>
      </w:r>
    </w:p>
    <w:p>
      <w:pPr>
        <w:pStyle w:val="ListBullet"/>
        <w:spacing w:after="60"/>
        <w:ind w:left="864"/>
      </w:pPr>
      <w:r>
        <w:t>Open-ended first, documents second. Where a fact must come from the witness — what happened on an evening, who wrote a module, why a dependency was chosen — ask it open-endedly and let the witness narrate before any document is shown. Only after the narrative is fixed should a record be put to the witness, and then neutrally (“what, if anything, does this reflect?”).</w:t>
      </w:r>
    </w:p>
    <w:p>
      <w:pPr>
        <w:pStyle w:val="ListBullet"/>
        <w:spacing w:after="60"/>
        <w:ind w:left="864"/>
      </w:pPr>
      <w:r>
        <w:t>Never adopt the other side's characterization in the question. Ask “what happened with the storage device,” not “why did you take the files.”</w:t>
      </w:r>
    </w:p>
    <w:p>
      <w:pPr>
        <w:pStyle w:val="ListBullet"/>
        <w:spacing w:after="60"/>
        <w:ind w:left="864"/>
      </w:pPr>
      <w:r>
        <w:t>Separate what the witness knows from what the witness has been told by counsel. The first is generally discoverable; the second is not. Where an answer begins to disclose legal advice, stop the witness, note the topic in a privilege log entry, and move on.</w:t>
      </w:r>
    </w:p>
    <w:p>
      <w:pPr>
        <w:pStyle w:val="ListBullet"/>
        <w:spacing w:after="60"/>
        <w:ind w:left="864"/>
      </w:pPr>
      <w:r>
        <w:t>Keep a running collection list. Most questions below have a document counterpart; the interview is the fastest route to an accurate custodian and systems map.</w:t>
      </w:r>
    </w:p>
    <w:p>
      <w:pPr>
        <w:pStyle w:val="ListBullet"/>
        <w:spacing w:after="60"/>
        <w:ind w:left="864"/>
      </w:pPr>
      <w:r>
        <w:t>Do not resolve the Holt conflict question in the interview room. See L-16 and the sequencing recommendation in Part VII.</w:t>
      </w:r>
    </w:p>
    <w:p>
      <w:pPr>
        <w:pStyle w:val="Heading1"/>
      </w:pPr>
      <w:r>
        <w:t>IV.  Witness Category 1 — Dr. Marcus Holt (Chief Technology Officer and Co-Founder)</w:t>
      </w:r>
    </w:p>
    <w:p>
      <w:pPr>
        <w:spacing w:before="0" w:after="120"/>
        <w:ind w:left="0" w:firstLine="0"/>
      </w:pPr>
      <w:r>
        <w:rPr>
          <w:b w:val="0"/>
          <w:i w:val="0"/>
          <w:sz w:val="22"/>
        </w:rPr>
        <w:t>Dr. Holt is the only witness whose personal knowledge spans every lead family in this investigation: he is the former SkyVault Senior Systems Engineer whose account and access history SkyVault places at the center of its case, the individual who signed the ECIAA and its prior-inventions disclosure, the named technical leader of PathForge from Meridian's formation, and the named author on the July 2022 white paper. His interview is accordingly the highest-value and the highest-risk session in this round, because his recollection will either be corroborated or contradicted by records we have not yet collected. The objective is a complete, chronological, open-ended narrative from him, taken against a documentary record already in hand, rather than a narrative that we then try to verify.</w:t>
      </w:r>
    </w:p>
    <w:p>
      <w:pPr>
        <w:pStyle w:val="Heading2"/>
      </w:pPr>
      <w:r>
        <w:t>A.  Lead Family 1 — Holt's SkyVault Tenure, Access History and Separation</w:t>
      </w:r>
    </w:p>
    <w:p>
      <w:pPr>
        <w:keepNext/>
        <w:spacing w:before="180" w:after="40"/>
        <w:ind w:left="605" w:hanging="605"/>
      </w:pPr>
      <w:r>
        <w:rPr>
          <w:b/>
        </w:rPr>
        <w:t xml:space="preserve">H-1  </w:t>
      </w:r>
      <w:r>
        <w:t>Walk us through your time at SkyVault from your first day to your last — the teams you sat on, the projects you were assigned, who you reported to, and how your responsibilities changed over those twenty months.</w:t>
      </w:r>
    </w:p>
    <w:p>
      <w:pPr>
        <w:keepNext/>
        <w:spacing w:before="0" w:after="40"/>
        <w:ind w:left="1037"/>
      </w:pPr>
      <w:r>
        <w:rPr>
          <w:b/>
          <w:i/>
          <w:sz w:val="20"/>
        </w:rPr>
        <w:t xml:space="preserve">Source: </w:t>
      </w:r>
      <w:r>
        <w:rPr>
          <w:i/>
          <w:sz w:val="20"/>
        </w:rPr>
        <w:t>ECIAA §§ 1.1 and 1.3 supply the contractual description of the role (Senior Systems Engineer, reporting to CEO Dr. Rajan Mehta, duties in UAV flight control, sensor fusion and flight path optimization, commencing June 13, 2016); Complaint ¶¶ 43–44 supply SkyVault's characterization of the same period (hire June 13, 2016; resignation effective February 16, 2018; “broad access” to TS-1, TS-2, TS-4 and TS-5 and access to TS-3 through customer demonstrations and proposal development).</w:t>
      </w:r>
    </w:p>
    <w:p>
      <w:pPr>
        <w:keepNext w:val="0"/>
        <w:spacing w:before="0" w:after="40"/>
        <w:ind w:left="1037"/>
      </w:pPr>
      <w:r>
        <w:rPr>
          <w:b/>
          <w:i/>
          <w:sz w:val="20"/>
        </w:rPr>
        <w:t xml:space="preserve">Evidentiary purpose: </w:t>
      </w:r>
      <w:r>
        <w:rPr>
          <w:i/>
          <w:sz w:val="20"/>
        </w:rPr>
        <w:t>Establishes an unprompted baseline for actual duties and actual exposure, against which ¶ 44's access allegation can be tested. Also generates the custodian, system and project vocabulary needed for every later collection request.</w:t>
      </w:r>
    </w:p>
    <w:p>
      <w:pPr>
        <w:keepNext/>
        <w:spacing w:before="180" w:after="40"/>
        <w:ind w:left="605" w:hanging="605"/>
      </w:pPr>
      <w:r>
        <w:rPr>
          <w:b/>
        </w:rPr>
        <w:t xml:space="preserve">H-2  </w:t>
      </w:r>
      <w:r>
        <w:t>How was access to each SkyVault Confluence space granted and administered — who approved it, was it role-based or open, and did you ever request or receive access beyond your engineering assignments?</w:t>
      </w:r>
    </w:p>
    <w:p>
      <w:pPr>
        <w:keepNext/>
        <w:spacing w:before="0" w:after="40"/>
        <w:ind w:left="1037"/>
      </w:pPr>
      <w:r>
        <w:rPr>
          <w:b/>
          <w:i/>
          <w:sz w:val="20"/>
        </w:rPr>
        <w:t xml:space="preserve">Source: </w:t>
      </w:r>
      <w:r>
        <w:rPr>
          <w:i/>
          <w:sz w:val="20"/>
        </w:rPr>
        <w:t>Exhibit F, Forensic Log, Row # 17 (01/24/2018, FILE_VIEW, /SkyVault/Business/CustomerData/, customer_contracts_summary_2017.xlsx, Notes: “User accessed Business/CustomerData space — outside normal Engineering scope”) and Row # 41 (02/13/2018, ADMIN_ACTION, “Permissions audit initiated for user mholt across all Engineering subspaces”) show that the access occurred and succeeded but do not show what the permissions were; Complaint ¶¶ 40, 93 and 106 supply SkyVault's assertion that it limited access to authorized personnel.</w:t>
      </w:r>
    </w:p>
    <w:p>
      <w:pPr>
        <w:keepNext w:val="0"/>
        <w:spacing w:before="0" w:after="40"/>
        <w:ind w:left="1037"/>
      </w:pPr>
      <w:r>
        <w:rPr>
          <w:b/>
          <w:i/>
          <w:sz w:val="20"/>
        </w:rPr>
        <w:t xml:space="preserve">Evidentiary purpose: </w:t>
      </w:r>
      <w:r>
        <w:rPr>
          <w:i/>
          <w:sz w:val="20"/>
        </w:rPr>
        <w:t>Tests whether the accesses SkyVault now characterizes as out-of-scope were in fact permitted by SkyVault's own configuration — which bears both on the “improper means” element and on the reasonableness of SkyVault's secrecy measures. The permissions-audit result (Row # 41) is not in our file and must be requested.</w:t>
      </w:r>
    </w:p>
    <w:p>
      <w:pPr>
        <w:keepNext/>
        <w:spacing w:before="180" w:after="40"/>
        <w:ind w:left="605" w:hanging="605"/>
      </w:pPr>
      <w:r>
        <w:rPr>
          <w:b/>
        </w:rPr>
        <w:t xml:space="preserve">H-3  </w:t>
      </w:r>
      <w:r>
        <w:t>What was your understanding of SkyVault's rules on downloading files to your workstation and on connecting removable media, and how were those rules communicated and enforced while you were there?</w:t>
      </w:r>
    </w:p>
    <w:p>
      <w:pPr>
        <w:keepNext/>
        <w:spacing w:before="0" w:after="40"/>
        <w:ind w:left="1037"/>
      </w:pPr>
      <w:r>
        <w:rPr>
          <w:b/>
          <w:i/>
          <w:sz w:val="20"/>
        </w:rPr>
        <w:t xml:space="preserve">Source: </w:t>
      </w:r>
      <w:r>
        <w:rPr>
          <w:i/>
          <w:sz w:val="20"/>
        </w:rPr>
        <w:t>ECIAA §§ 4.1–4.3 state the contractual rules (no transfer of Company data to personal devices without prior written authorization; no connection of personal storage devices without prior written approval of the supervisor or IT; consent to monitoring); Exhibit F Row # 39 Notes reference a separate “SkyVault Information Security Policy § 4.3,” which is not in our file; Exhibit F Row # s 5, 8, 11, 14, 15, 18, 21, 24 and 26 record nine single-file FILE_DOWNLOAD events to “Local Disk (C:\Users\mholt\Downloads)” between 01/10/2018 and 02/01/2018, each with Event Status “Success” and Flag “None.”</w:t>
      </w:r>
    </w:p>
    <w:p>
      <w:pPr>
        <w:keepNext w:val="0"/>
        <w:spacing w:before="0" w:after="40"/>
        <w:ind w:left="1037"/>
      </w:pPr>
      <w:r>
        <w:rPr>
          <w:b/>
          <w:i/>
          <w:sz w:val="20"/>
        </w:rPr>
        <w:t xml:space="preserve">Evidentiary purpose: </w:t>
      </w:r>
      <w:r>
        <w:rPr>
          <w:i/>
          <w:sz w:val="20"/>
        </w:rPr>
        <w:t>Distinguishes the contractual rule from the actual operating practice. If routine downloads to local disk were unremarked and unflagged, that context matters to how the later events are read; it also identifies the policy document we must obtain from SkyVault.</w:t>
      </w:r>
    </w:p>
    <w:p>
      <w:pPr>
        <w:keepNext/>
        <w:spacing w:before="180" w:after="40"/>
        <w:ind w:left="605" w:hanging="605"/>
      </w:pPr>
      <w:r>
        <w:rPr>
          <w:b/>
        </w:rPr>
        <w:t xml:space="preserve">H-4  </w:t>
      </w:r>
      <w:r>
        <w:t>Tell us about the series of Confluence exports in the first week of February 2018 — what you were doing, at whose request, and what you did with the exported material.</w:t>
      </w:r>
    </w:p>
    <w:p>
      <w:pPr>
        <w:keepNext/>
        <w:spacing w:before="0" w:after="40"/>
        <w:ind w:left="1037"/>
      </w:pPr>
      <w:r>
        <w:rPr>
          <w:b/>
          <w:i/>
          <w:sz w:val="20"/>
        </w:rPr>
        <w:t xml:space="preserve">Source: </w:t>
      </w:r>
      <w:r>
        <w:rPr>
          <w:i/>
          <w:sz w:val="20"/>
        </w:rPr>
        <w:t>Exhibit F, Forensic Log, Row # s 27–32 record six BULK_EXPORT events to local disk between 02/02/2018 and 02/08/2018: /SensorFusion/Archives/ (347 files, 1,842.6 MB), /FlightPath/ (218 files, 1,105.3 MB), /SwarmProtocol/ (189 files, 924.7 MB), /HardwareIntegration/ (276 files, 2,214.8 MB), /SensorFusion/ (412 files, 3,127.4 MB) and /Business/CustomerData/ (84 files, 467.2 MB) — 1,526 files in total. The Complaint pleads only the single 4,700-file transfer (¶¶ 48–50) and does not mention these six events.</w:t>
      </w:r>
    </w:p>
    <w:p>
      <w:pPr>
        <w:keepNext w:val="0"/>
        <w:spacing w:before="0" w:after="40"/>
        <w:ind w:left="1037"/>
      </w:pPr>
      <w:r>
        <w:rPr>
          <w:b/>
          <w:i/>
          <w:sz w:val="20"/>
        </w:rPr>
        <w:t xml:space="preserve">Evidentiary purpose: </w:t>
      </w:r>
      <w:r>
        <w:rPr>
          <w:i/>
          <w:sz w:val="20"/>
        </w:rPr>
        <w:t>These exports are in SkyVault's own exhibit but outside its pleaded theory. Whether they were ordinary work product, a project handover, or something else is a fact only the witness can supply, and it also bears on whether the later 4,700 figure double-counts material already exported.</w:t>
      </w:r>
    </w:p>
    <w:p>
      <w:pPr>
        <w:keepNext/>
        <w:spacing w:before="180" w:after="40"/>
        <w:ind w:left="605" w:hanging="605"/>
      </w:pPr>
      <w:r>
        <w:rPr>
          <w:b/>
        </w:rPr>
        <w:t xml:space="preserve">H-5  </w:t>
      </w:r>
      <w:r>
        <w:t>Tell us everything you remember about the evening of February 8, 2018 at workstation SV-ENG-WS-014 — what you were doing, why, how long it took, who else knew, and whether anyone authorized it.</w:t>
      </w:r>
    </w:p>
    <w:p>
      <w:pPr>
        <w:keepNext/>
        <w:spacing w:before="0" w:after="40"/>
        <w:ind w:left="1037"/>
      </w:pPr>
      <w:r>
        <w:rPr>
          <w:b/>
          <w:i/>
          <w:sz w:val="20"/>
        </w:rPr>
        <w:t xml:space="preserve">Source: </w:t>
      </w:r>
      <w:r>
        <w:rPr>
          <w:i/>
          <w:sz w:val="20"/>
        </w:rPr>
        <w:t>Exhibit F, Forensic Log, Row # 33 (USB_DEVICE_CONNECTED, timestamp 2018-02-09T02:17:44Z, Event Time (CT) field reading “08:17:44 PM (02/08 CT)”), Row # 34 (BULK_COPY_TO_REMOVABLE, 2018-02-09T02:18:12Z, 4,700 files, 18,473.2 MB, destination “Removable Disk (F:\SkyVault_Export\)”, Flag “ALERT — Bulk transfer to removable media exceeds threshold (&gt;500 files)”) and Row # 35 (USB_DEVICE_DISCONNECTED, 2018-02-09T03:42:58Z). Complaint ¶¶ 48 and 50 characterize the same event as occurring “on or about February 9, 2018.”</w:t>
      </w:r>
    </w:p>
    <w:p>
      <w:pPr>
        <w:keepNext w:val="0"/>
        <w:spacing w:before="0" w:after="40"/>
        <w:ind w:left="1037"/>
      </w:pPr>
      <w:r>
        <w:rPr>
          <w:b/>
          <w:i/>
          <w:sz w:val="20"/>
        </w:rPr>
        <w:t xml:space="preserve">Evidentiary purpose: </w:t>
      </w:r>
      <w:r>
        <w:rPr>
          <w:i/>
          <w:sz w:val="20"/>
        </w:rPr>
        <w:t>This is the single most important open-ended question in the investigation and must be asked before any record is shown. It also surfaces the date discrepancy: the exhibit's own Central Time field places the connection and copy on the evening of February 8, not February 9, which matters for corroboration against badge, calendar and physical-presence records we do not yet have.</w:t>
      </w:r>
    </w:p>
    <w:p>
      <w:pPr>
        <w:keepNext/>
        <w:spacing w:before="180" w:after="40"/>
        <w:ind w:left="605" w:hanging="605"/>
      </w:pPr>
      <w:r>
        <w:rPr>
          <w:b/>
        </w:rPr>
        <w:t xml:space="preserve">H-6  </w:t>
      </w:r>
      <w:r>
        <w:t>Whose storage device was it, how did you come by it, and where is it now?</w:t>
      </w:r>
    </w:p>
    <w:p>
      <w:pPr>
        <w:keepNext/>
        <w:spacing w:before="0" w:after="40"/>
        <w:ind w:left="1037"/>
      </w:pPr>
      <w:r>
        <w:rPr>
          <w:b/>
          <w:i/>
          <w:sz w:val="20"/>
        </w:rPr>
        <w:t xml:space="preserve">Source: </w:t>
      </w:r>
      <w:r>
        <w:rPr>
          <w:i/>
          <w:sz w:val="20"/>
        </w:rPr>
        <w:t>Exhibit F, Forensic Log, Row # s 33–35, Device ID field: “USB\VID_0781&amp;PID_5581\4C530001221029118035 (SanDisk Ultra 128GB)” — which records a hardware identifier but says nothing about ownership; Complaint ¶ 48 supplies the characterization “personal USB storage device”; ECIAA § 4.2 makes ownership legally relevant because the prior-written-approval requirement is directed at personal devices.</w:t>
      </w:r>
    </w:p>
    <w:p>
      <w:pPr>
        <w:keepNext w:val="0"/>
        <w:spacing w:before="0" w:after="40"/>
        <w:ind w:left="1037"/>
      </w:pPr>
      <w:r>
        <w:rPr>
          <w:b/>
          <w:i/>
          <w:sz w:val="20"/>
        </w:rPr>
        <w:t xml:space="preserve">Evidentiary purpose: </w:t>
      </w:r>
      <w:r>
        <w:rPr>
          <w:i/>
          <w:sz w:val="20"/>
        </w:rPr>
        <w:t>Ownership is pleaded, not proven. The answer also drives an immediate preservation instruction: if the device or any image of it exists, it must be sequestered now.</w:t>
      </w:r>
    </w:p>
    <w:p>
      <w:pPr>
        <w:keepNext/>
        <w:spacing w:before="180" w:after="40"/>
        <w:ind w:left="605" w:hanging="605"/>
      </w:pPr>
      <w:r>
        <w:rPr>
          <w:b/>
        </w:rPr>
        <w:t xml:space="preserve">H-7  </w:t>
      </w:r>
      <w:r>
        <w:t>Did you ask for, or receive, written approval to connect that device or to transfer that material — and if so, from whom and in what form?</w:t>
      </w:r>
    </w:p>
    <w:p>
      <w:pPr>
        <w:keepNext/>
        <w:spacing w:before="0" w:after="40"/>
        <w:ind w:left="1037"/>
      </w:pPr>
      <w:r>
        <w:rPr>
          <w:b/>
          <w:i/>
          <w:sz w:val="20"/>
        </w:rPr>
        <w:t xml:space="preserve">Source: </w:t>
      </w:r>
      <w:r>
        <w:rPr>
          <w:i/>
          <w:sz w:val="20"/>
        </w:rPr>
        <w:t>ECIAA § 4.2 (prior written approval of the supervisor or the IT department required); Exhibit F Row # 34, where Event Status is “Success” and the transfer was permitted to complete despite the endpoint agent's automated alert.</w:t>
      </w:r>
    </w:p>
    <w:p>
      <w:pPr>
        <w:keepNext w:val="0"/>
        <w:spacing w:before="0" w:after="40"/>
        <w:ind w:left="1037"/>
      </w:pPr>
      <w:r>
        <w:rPr>
          <w:b/>
          <w:i/>
          <w:sz w:val="20"/>
        </w:rPr>
        <w:t xml:space="preserve">Evidentiary purpose: </w:t>
      </w:r>
      <w:r>
        <w:rPr>
          <w:i/>
          <w:sz w:val="20"/>
        </w:rPr>
        <w:t>Authorization is an element-level fact for the “improper means” and breach theories. A contemporaneous approval email, if it exists, is the highest-value single document in the matter; its absence must also be established cleanly rather than assumed.</w:t>
      </w:r>
    </w:p>
    <w:p>
      <w:pPr>
        <w:keepNext/>
        <w:spacing w:before="180" w:after="40"/>
        <w:ind w:left="605" w:hanging="605"/>
      </w:pPr>
      <w:r>
        <w:rPr>
          <w:b/>
        </w:rPr>
        <w:t xml:space="preserve">H-8  </w:t>
      </w:r>
      <w:r>
        <w:t>Describe your exit interview and the separation process — who attended, what was asked of you, and what you said.</w:t>
      </w:r>
    </w:p>
    <w:p>
      <w:pPr>
        <w:keepNext/>
        <w:spacing w:before="0" w:after="40"/>
        <w:ind w:left="1037"/>
      </w:pPr>
      <w:r>
        <w:rPr>
          <w:b/>
          <w:i/>
          <w:sz w:val="20"/>
        </w:rPr>
        <w:t xml:space="preserve">Source: </w:t>
      </w:r>
      <w:r>
        <w:rPr>
          <w:i/>
          <w:sz w:val="20"/>
        </w:rPr>
        <w:t>Exhibit F Row # 40 (02/12/2018 ADMIN_NOTE: exit interview confirmed with HR Director K. Patel and scheduled for 02/15/2018) and Row # 46 (02/15/2018 ADMIN_NOTE: “Exit interview for M. Holt completed by HR. Employee declined to return or identify USB device.”) record SkyVault's contemporaneous account; ECIAA §§ 3.5 and 4.4 supply the obligations at issue (return of Company Materials, deletion of electronic copies, written certification, participation in exit procedures); Complaint ¶ 52 supplies SkyVault's pleaded version.</w:t>
      </w:r>
    </w:p>
    <w:p>
      <w:pPr>
        <w:keepNext w:val="0"/>
        <w:spacing w:before="0" w:after="40"/>
        <w:ind w:left="1037"/>
      </w:pPr>
      <w:r>
        <w:rPr>
          <w:b/>
          <w:i/>
          <w:sz w:val="20"/>
        </w:rPr>
        <w:t xml:space="preserve">Evidentiary purpose: </w:t>
      </w:r>
      <w:r>
        <w:rPr>
          <w:i/>
          <w:sz w:val="20"/>
        </w:rPr>
        <w:t>Row # 46 is a hearsay note written by SkyVault's own IT administrator summarizing an interview he did not conduct. The witness's direct account of what was asked and answered is needed before that note can be assessed, and it goes directly to the § 3.5(c) certification allegation.</w:t>
      </w:r>
    </w:p>
    <w:p>
      <w:pPr>
        <w:keepNext/>
        <w:spacing w:before="180" w:after="40"/>
        <w:ind w:left="605" w:hanging="605"/>
      </w:pPr>
      <w:r>
        <w:rPr>
          <w:b/>
        </w:rPr>
        <w:t xml:space="preserve">H-9  </w:t>
      </w:r>
      <w:r>
        <w:t>What did you actually return, delete or certify at separation, and what, if anything, did you retain?</w:t>
      </w:r>
    </w:p>
    <w:p>
      <w:pPr>
        <w:keepNext/>
        <w:spacing w:before="0" w:after="40"/>
        <w:ind w:left="1037"/>
      </w:pPr>
      <w:r>
        <w:rPr>
          <w:b/>
          <w:i/>
          <w:sz w:val="20"/>
        </w:rPr>
        <w:t xml:space="preserve">Source: </w:t>
      </w:r>
      <w:r>
        <w:rPr>
          <w:i/>
          <w:sz w:val="20"/>
        </w:rPr>
        <w:t>ECIAA § 3.5(a)–(c) and the concluding sentence of § 3.5 (no retention of copies, summaries, excerpts or reproductions); Complaint ¶ 52 (alleging neither return nor certification).</w:t>
      </w:r>
    </w:p>
    <w:p>
      <w:pPr>
        <w:keepNext w:val="0"/>
        <w:spacing w:before="0" w:after="40"/>
        <w:ind w:left="1037"/>
      </w:pPr>
      <w:r>
        <w:rPr>
          <w:b/>
          <w:i/>
          <w:sz w:val="20"/>
        </w:rPr>
        <w:t xml:space="preserve">Evidentiary purpose: </w:t>
      </w:r>
      <w:r>
        <w:rPr>
          <w:i/>
          <w:sz w:val="20"/>
        </w:rPr>
        <w:t>Establishes the contractual-performance facts directly rather than through SkyVault's characterization, and identifies any material still in the witness's possession that must be preserved and sequestered immediately.</w:t>
      </w:r>
    </w:p>
    <w:p>
      <w:pPr>
        <w:keepNext/>
        <w:spacing w:before="180" w:after="40"/>
        <w:ind w:left="605" w:hanging="605"/>
      </w:pPr>
      <w:r>
        <w:rPr>
          <w:b/>
        </w:rPr>
        <w:t xml:space="preserve">H-10  </w:t>
      </w:r>
      <w:r>
        <w:t>Between February 13 and February 16, 2018, did you try to access SkyVault systems, and if so, what were you trying to do?</w:t>
      </w:r>
    </w:p>
    <w:p>
      <w:pPr>
        <w:keepNext/>
        <w:spacing w:before="0" w:after="40"/>
        <w:ind w:left="1037"/>
      </w:pPr>
      <w:r>
        <w:rPr>
          <w:b/>
          <w:i/>
          <w:sz w:val="20"/>
        </w:rPr>
        <w:t xml:space="preserve">Source: </w:t>
      </w:r>
      <w:r>
        <w:rPr>
          <w:i/>
          <w:sz w:val="20"/>
        </w:rPr>
        <w:t>Exhibit F Row # s 42 and 43 (02/13/2018 ACCESS_REVOKED across all Confluence spaces and VPN_ACCESS_REVOKED, both referencing INC-2018-00417) and Row # 44 (02/13/2018 LOGIN_FAILED, Event Status “Failed — Access Revoked”).</w:t>
      </w:r>
    </w:p>
    <w:p>
      <w:pPr>
        <w:keepNext w:val="0"/>
        <w:spacing w:before="0" w:after="40"/>
        <w:ind w:left="1037"/>
      </w:pPr>
      <w:r>
        <w:rPr>
          <w:b/>
          <w:i/>
          <w:sz w:val="20"/>
        </w:rPr>
        <w:t xml:space="preserve">Evidentiary purpose: </w:t>
      </w:r>
      <w:r>
        <w:rPr>
          <w:i/>
          <w:sz w:val="20"/>
        </w:rPr>
        <w:t>A failed login after revocation is the kind of event that reads badly if left unexplained and is often entirely mundane. Resolving it now prevents it from being first explained under oath.</w:t>
      </w:r>
    </w:p>
    <w:p>
      <w:pPr>
        <w:keepNext/>
        <w:spacing w:before="180" w:after="40"/>
        <w:ind w:left="605" w:hanging="605"/>
      </w:pPr>
      <w:r>
        <w:rPr>
          <w:b/>
        </w:rPr>
        <w:t xml:space="preserve">H-11  </w:t>
      </w:r>
      <w:r>
        <w:t>Since February 2018, what has become of any material that originated at SkyVault — on any device, personal cloud account, personal email account, or backup you control?</w:t>
      </w:r>
    </w:p>
    <w:p>
      <w:pPr>
        <w:keepNext/>
        <w:spacing w:before="0" w:after="40"/>
        <w:ind w:left="1037"/>
      </w:pPr>
      <w:r>
        <w:rPr>
          <w:b/>
          <w:i/>
          <w:sz w:val="20"/>
        </w:rPr>
        <w:t xml:space="preserve">Source: </w:t>
      </w:r>
      <w:r>
        <w:rPr>
          <w:i/>
          <w:sz w:val="20"/>
        </w:rPr>
        <w:t>ECIAA § 3.5 (return and deletion obligations) and § 3.2(a) (perpetual trade-secret obligation) frame the continuing duty; Exhibit F Report Metadata, B7, limits the log's scope to January 1 through February 28, 2018, so the exhibit is silent on everything after that date.</w:t>
      </w:r>
    </w:p>
    <w:p>
      <w:pPr>
        <w:keepNext w:val="0"/>
        <w:spacing w:before="0" w:after="40"/>
        <w:ind w:left="1037"/>
      </w:pPr>
      <w:r>
        <w:rPr>
          <w:b/>
          <w:i/>
          <w:sz w:val="20"/>
        </w:rPr>
        <w:t xml:space="preserve">Evidentiary purpose: </w:t>
      </w:r>
      <w:r>
        <w:rPr>
          <w:i/>
          <w:sz w:val="20"/>
        </w:rPr>
        <w:t>Present possession, custody or control is both a live contractual question and the trigger for a targeted forensic collection of the witness's personal devices. Nothing in our file speaks to it.</w:t>
      </w:r>
    </w:p>
    <w:p>
      <w:pPr>
        <w:keepNext/>
        <w:spacing w:before="180" w:after="40"/>
        <w:ind w:left="605" w:hanging="605"/>
      </w:pPr>
      <w:r>
        <w:rPr>
          <w:b/>
        </w:rPr>
        <w:t xml:space="preserve">H-12  </w:t>
      </w:r>
      <w:r>
        <w:t>Were you named as an inventor on any SkyVault patent application, were you ever asked to review or sign one, and what did you know at the time about SkyVault's patent filings?</w:t>
      </w:r>
    </w:p>
    <w:p>
      <w:pPr>
        <w:keepNext/>
        <w:spacing w:before="0" w:after="40"/>
        <w:ind w:left="1037"/>
      </w:pPr>
      <w:r>
        <w:rPr>
          <w:b/>
          <w:i/>
          <w:sz w:val="20"/>
        </w:rPr>
        <w:t xml:space="preserve">Source: </w:t>
      </w:r>
      <w:r>
        <w:rPr>
          <w:i/>
          <w:sz w:val="20"/>
        </w:rPr>
        <w:t>Complaint ¶¶ 28–30 identify the named inventors of the three patents-in-suit as Dr. Mehta ('561), Dr. Mehta and Dr. Venkatesh ('227), and Dr. Mehta, Dr. Venkatesh and Kevin Larsson ('889) — Holt is named on none of them; ¶¶ 69, 78 and 86 allege on information and belief that he was nonetheless aware of the applications, including the '561 application filed March 14, 2017 during his employment; ECIAA §§ 5.1 and 5.5 impose disclosure and prosecution-cooperation duties that would normally generate records if he had contributed inventively.</w:t>
      </w:r>
    </w:p>
    <w:p>
      <w:pPr>
        <w:keepNext w:val="0"/>
        <w:spacing w:before="0" w:after="40"/>
        <w:ind w:left="1037"/>
      </w:pPr>
      <w:r>
        <w:rPr>
          <w:b/>
          <w:i/>
          <w:sz w:val="20"/>
        </w:rPr>
        <w:t xml:space="preserve">Evidentiary purpose: </w:t>
      </w:r>
      <w:r>
        <w:rPr>
          <w:i/>
          <w:sz w:val="20"/>
        </w:rPr>
        <w:t>Goes to the willfulness allegations, which rest on pre-suit knowledge, and simultaneously to ¶ 128(b)'s failure-to-assign theory. Note the timing asymmetry to be explored: the '227 was filed November 9, 2018 and the '889 on June 22, 2020, both after the witness's February 16, 2018 departure.</w:t>
      </w:r>
    </w:p>
    <w:p>
      <w:pPr>
        <w:pStyle w:val="Heading2"/>
      </w:pPr>
      <w:r>
        <w:t>B.  Lead Family 2 — Holt's Disclosed Prior Work and Pre-Existing Inventions</w:t>
      </w:r>
    </w:p>
    <w:p>
      <w:pPr>
        <w:keepNext/>
        <w:spacing w:before="180" w:after="40"/>
        <w:ind w:left="605" w:hanging="605"/>
      </w:pPr>
      <w:r>
        <w:rPr>
          <w:b/>
        </w:rPr>
        <w:t xml:space="preserve">H-13  </w:t>
      </w:r>
      <w:r>
        <w:t>Take us through Exhibit A to your ECIAA — how you prepared it, what you understood it to cover, and whether the list is complete as of June 2016.</w:t>
      </w:r>
    </w:p>
    <w:p>
      <w:pPr>
        <w:keepNext/>
        <w:spacing w:before="0" w:after="40"/>
        <w:ind w:left="1037"/>
      </w:pPr>
      <w:r>
        <w:rPr>
          <w:b/>
          <w:i/>
          <w:sz w:val="20"/>
        </w:rPr>
        <w:t xml:space="preserve">Source: </w:t>
      </w:r>
      <w:r>
        <w:rPr>
          <w:i/>
          <w:sz w:val="20"/>
        </w:rPr>
        <w:t>ECIAA Exhibit A, initialed “M.H.” and dated June 13, 2016, listing two prior inventions: “Autonomous Ground Vehicle Path Planning Algorithm” (2014–2015, developed as part of PhD dissertation research at Georgia Institute of Technology, no patent filed) and “RoboNav Sensor Calibration Toolkit (open-source)” (2015, published on GitHub under MIT License at github.com/mholt-robotics/robonav-cal); ECIAA § 5.3 governs the effect of the listing.</w:t>
      </w:r>
    </w:p>
    <w:p>
      <w:pPr>
        <w:keepNext w:val="0"/>
        <w:spacing w:before="0" w:after="40"/>
        <w:ind w:left="1037"/>
      </w:pPr>
      <w:r>
        <w:rPr>
          <w:b/>
          <w:i/>
          <w:sz w:val="20"/>
        </w:rPr>
        <w:t xml:space="preserve">Evidentiary purpose: </w:t>
      </w:r>
      <w:r>
        <w:rPr>
          <w:i/>
          <w:sz w:val="20"/>
        </w:rPr>
        <w:t>The Complaint never mentions this disclosure. It is contemporaneous, signed, and dated at the start of employment, and it is the most concrete documentary anchor available for a pre-existing-work narrative. Its completeness must be tested now, because an omission would be more damaging than the disclosure is helpful.</w:t>
      </w:r>
    </w:p>
    <w:p>
      <w:pPr>
        <w:keepNext/>
        <w:spacing w:before="180" w:after="40"/>
        <w:ind w:left="605" w:hanging="605"/>
      </w:pPr>
      <w:r>
        <w:rPr>
          <w:b/>
        </w:rPr>
        <w:t xml:space="preserve">H-14  </w:t>
      </w:r>
      <w:r>
        <w:t>Describe the technical content of the dissertation path-planning work — what problem it solved, what the algorithm did, what was published, and whether any of it reappears in PathForge.</w:t>
      </w:r>
    </w:p>
    <w:p>
      <w:pPr>
        <w:keepNext/>
        <w:spacing w:before="0" w:after="40"/>
        <w:ind w:left="1037"/>
      </w:pPr>
      <w:r>
        <w:rPr>
          <w:b/>
          <w:i/>
          <w:sz w:val="20"/>
        </w:rPr>
        <w:t xml:space="preserve">Source: </w:t>
      </w:r>
      <w:r>
        <w:rPr>
          <w:i/>
          <w:sz w:val="20"/>
        </w:rPr>
        <w:t>ECIAA Exhibit A, item 1 (ground-vehicle path planning, 2014–2015, dissertation research, no patent filed); ECIAA § 5.3 (exclusion does not apply where the invention relates to the Company's business or results from work performed for the Company); white paper § 4.3 describes PathForge's “adaptive flight path optimization algorithm”, which is the module SkyVault maps to the '227 Patent at Complaint ¶ 77.</w:t>
      </w:r>
    </w:p>
    <w:p>
      <w:pPr>
        <w:keepNext w:val="0"/>
        <w:spacing w:before="0" w:after="40"/>
        <w:ind w:left="1037"/>
      </w:pPr>
      <w:r>
        <w:rPr>
          <w:b/>
          <w:i/>
          <w:sz w:val="20"/>
        </w:rPr>
        <w:t xml:space="preserve">Evidentiary purpose: </w:t>
      </w:r>
      <w:r>
        <w:rPr>
          <w:i/>
          <w:sz w:val="20"/>
        </w:rPr>
        <w:t>Tests the reach and the limits of the prior-invention carve-out: the disclosure is for ground vehicles, the accused module is aerial, and the § 5.3 carve-back language must be confronted rather than assumed away. Also identifies publicly available dissertation and publication records that can be obtained without discovery.</w:t>
      </w:r>
    </w:p>
    <w:p>
      <w:pPr>
        <w:keepNext/>
        <w:spacing w:before="180" w:after="40"/>
        <w:ind w:left="605" w:hanging="605"/>
      </w:pPr>
      <w:r>
        <w:rPr>
          <w:b/>
        </w:rPr>
        <w:t xml:space="preserve">H-15  </w:t>
      </w:r>
      <w:r>
        <w:t>Tell us about the RoboNav toolkit — who wrote it, what license it carries, whether it or any derivative of it is in PathForge today, and how attribution was handled if so.</w:t>
      </w:r>
    </w:p>
    <w:p>
      <w:pPr>
        <w:keepNext/>
        <w:spacing w:before="0" w:after="40"/>
        <w:ind w:left="1037"/>
      </w:pPr>
      <w:r>
        <w:rPr>
          <w:b/>
          <w:i/>
          <w:sz w:val="20"/>
        </w:rPr>
        <w:t xml:space="preserve">Source: </w:t>
      </w:r>
      <w:r>
        <w:rPr>
          <w:i/>
          <w:sz w:val="20"/>
        </w:rPr>
        <w:t>ECIAA Exhibit A, item 2 (RoboNav Sensor Calibration Toolkit, 2015, GitHub, MIT License, github.com/mholt-robotics/robonav-cal); white paper § 3.1 and § 7.2 describe a “sensor calibration pipeline” refined during the Q3 2018–Q4 2019 fusion-module work, which is the nearest functional counterpart in the accused platform.</w:t>
      </w:r>
    </w:p>
    <w:p>
      <w:pPr>
        <w:keepNext w:val="0"/>
        <w:spacing w:before="0" w:after="40"/>
        <w:ind w:left="1037"/>
      </w:pPr>
      <w:r>
        <w:rPr>
          <w:b/>
          <w:i/>
          <w:sz w:val="20"/>
        </w:rPr>
        <w:t xml:space="preserve">Evidentiary purpose: </w:t>
      </w:r>
      <w:r>
        <w:rPr>
          <w:i/>
          <w:sz w:val="20"/>
        </w:rPr>
        <w:t>If the witness's own MIT-licensed code is in PathForge, that is affirmative independent-provenance evidence — but only if the attribution and notice requirements of the MIT license were met. The question must be asked in a way that permits an unfavorable answer.</w:t>
      </w:r>
    </w:p>
    <w:p>
      <w:pPr>
        <w:keepNext/>
        <w:spacing w:before="180" w:after="40"/>
        <w:ind w:left="605" w:hanging="605"/>
      </w:pPr>
      <w:r>
        <w:rPr>
          <w:b/>
        </w:rPr>
        <w:t xml:space="preserve">H-16  </w:t>
      </w:r>
      <w:r>
        <w:t>What other work did you do before June 2016 that is not on Exhibit A — publications, conference papers, code, teaching materials, consulting, or open-source contributions?</w:t>
      </w:r>
    </w:p>
    <w:p>
      <w:pPr>
        <w:keepNext/>
        <w:spacing w:before="0" w:after="40"/>
        <w:ind w:left="1037"/>
      </w:pPr>
      <w:r>
        <w:rPr>
          <w:b/>
          <w:i/>
          <w:sz w:val="20"/>
        </w:rPr>
        <w:t xml:space="preserve">Source: </w:t>
      </w:r>
      <w:r>
        <w:rPr>
          <w:i/>
          <w:sz w:val="20"/>
        </w:rPr>
        <w:t>ECIAA § 5.3 (final sentence: if no prior inventions are listed, the employee represents there are none) and Exhibit A as executed; ECIAA § 2.1(ii) (the prior-knowledge carve-out from Confidential Information requires documentation “by written records”).</w:t>
      </w:r>
    </w:p>
    <w:p>
      <w:pPr>
        <w:keepNext w:val="0"/>
        <w:spacing w:before="0" w:after="40"/>
        <w:ind w:left="1037"/>
      </w:pPr>
      <w:r>
        <w:rPr>
          <w:b/>
          <w:i/>
          <w:sz w:val="20"/>
        </w:rPr>
        <w:t xml:space="preserve">Evidentiary purpose: </w:t>
      </w:r>
      <w:r>
        <w:rPr>
          <w:i/>
          <w:sz w:val="20"/>
        </w:rPr>
        <w:t>The § 2.1(ii) and § 2.1(iii) carve-outs are only usable if contemporaneous written records exist. This question is the fastest route to identifying them and to learning whether Exhibit A understates the witness's pre-employment portfolio.</w:t>
      </w:r>
    </w:p>
    <w:p>
      <w:pPr>
        <w:keepNext/>
        <w:spacing w:before="180" w:after="40"/>
        <w:ind w:left="605" w:hanging="605"/>
      </w:pPr>
      <w:r>
        <w:rPr>
          <w:b/>
        </w:rPr>
        <w:t xml:space="preserve">H-17  </w:t>
      </w:r>
      <w:r>
        <w:t>During your SkyVault employment, did you develop anything on your own time, on your own equipment, related to autonomous navigation — and did you disclose it to SkyVault?</w:t>
      </w:r>
    </w:p>
    <w:p>
      <w:pPr>
        <w:keepNext/>
        <w:spacing w:before="0" w:after="40"/>
        <w:ind w:left="1037"/>
      </w:pPr>
      <w:r>
        <w:rPr>
          <w:b/>
          <w:i/>
          <w:sz w:val="20"/>
        </w:rPr>
        <w:t xml:space="preserve">Source: </w:t>
      </w:r>
      <w:r>
        <w:rPr>
          <w:i/>
          <w:sz w:val="20"/>
        </w:rPr>
        <w:t>ECIAA § 5.1 (prompt written disclosure of all inventions conceived during employment, on or off premises and inside or outside business hours) and § 5.3 (own-time exclusion and its carve-back); Complaint ¶ 128(b) alleges breach of § 5 for failure to assign.</w:t>
      </w:r>
    </w:p>
    <w:p>
      <w:pPr>
        <w:keepNext w:val="0"/>
        <w:spacing w:before="0" w:after="40"/>
        <w:ind w:left="1037"/>
      </w:pPr>
      <w:r>
        <w:rPr>
          <w:b/>
          <w:i/>
          <w:sz w:val="20"/>
        </w:rPr>
        <w:t xml:space="preserve">Evidentiary purpose: </w:t>
      </w:r>
      <w:r>
        <w:rPr>
          <w:i/>
          <w:sz w:val="20"/>
        </w:rPr>
        <w:t>Directly addresses the pleaded failure-to-assign theory, and identifies any conception that occurred before February 16, 2018 — the single most legally consequential category of fact for both the assignment claim and the PathForge conception timeline.</w:t>
      </w:r>
    </w:p>
    <w:p>
      <w:pPr>
        <w:keepNext/>
        <w:spacing w:before="180" w:after="40"/>
        <w:ind w:left="605" w:hanging="605"/>
      </w:pPr>
      <w:r>
        <w:rPr>
          <w:b/>
        </w:rPr>
        <w:t xml:space="preserve">H-18  </w:t>
      </w:r>
      <w:r>
        <w:t>Between February 16 and April 11, 2018, what technical work did you do, on what equipment, with whom, and what records of it exist?</w:t>
      </w:r>
    </w:p>
    <w:p>
      <w:pPr>
        <w:keepNext/>
        <w:spacing w:before="0" w:after="40"/>
        <w:ind w:left="1037"/>
      </w:pPr>
      <w:r>
        <w:rPr>
          <w:b/>
          <w:i/>
          <w:sz w:val="20"/>
        </w:rPr>
        <w:t xml:space="preserve">Source: </w:t>
      </w:r>
      <w:r>
        <w:rPr>
          <w:i/>
          <w:sz w:val="20"/>
        </w:rPr>
        <w:t>Complaint ¶ 53 (Meridian co-founded on or about April 11, 2018) and ¶ 9 (Delaware formation April 11, 2018) fix the corporate start date; white paper § 1 states PathForge was “developed from the ground up beginning in 2018” and § 7.2 dates the start of development to April 2018 at incorporation.</w:t>
      </w:r>
    </w:p>
    <w:p>
      <w:pPr>
        <w:keepNext w:val="0"/>
        <w:spacing w:before="0" w:after="40"/>
        <w:ind w:left="1037"/>
      </w:pPr>
      <w:r>
        <w:rPr>
          <w:b/>
          <w:i/>
          <w:sz w:val="20"/>
        </w:rPr>
        <w:t xml:space="preserve">Evidentiary purpose: </w:t>
      </w:r>
      <w:r>
        <w:rPr>
          <w:i/>
          <w:sz w:val="20"/>
        </w:rPr>
        <w:t>There is an unaccounted eight-week window between departure and incorporation. SkyVault's ¶ 54 theory depends on characterizing the post-departure period as continuous misuse; whatever actually happened in that window — including nothing — needs to be established from the witness and from records (personal devices, notebooks, incorporation files, investor materials) before anyone else defines it.</w:t>
      </w:r>
    </w:p>
    <w:p>
      <w:pPr>
        <w:keepNext/>
        <w:spacing w:before="180" w:after="40"/>
        <w:ind w:left="605" w:hanging="605"/>
      </w:pPr>
      <w:r>
        <w:rPr>
          <w:b/>
        </w:rPr>
        <w:t xml:space="preserve">H-19  </w:t>
      </w:r>
      <w:r>
        <w:t>Where did you personally draw the line between the general skills and knowledge you took with you and SkyVault's confidential information, and how did you apply that line at Meridian?</w:t>
      </w:r>
    </w:p>
    <w:p>
      <w:pPr>
        <w:keepNext/>
        <w:spacing w:before="0" w:after="40"/>
        <w:ind w:left="1037"/>
      </w:pPr>
      <w:r>
        <w:rPr>
          <w:b/>
          <w:i/>
          <w:sz w:val="20"/>
        </w:rPr>
        <w:t xml:space="preserve">Source: </w:t>
      </w:r>
      <w:r>
        <w:rPr>
          <w:i/>
          <w:sz w:val="20"/>
        </w:rPr>
        <w:t>ECIAA § 3.4 (express preservation of the right to use general skills, knowledge, experience and expertise, and publicly available information, provided no Confidential Information or Trade Secrets are used); § 3.2(b) (non-trade-secret confidentiality obligations ran three years from termination, i.e., to February 16, 2021); Complaint ¶ 129 lists the categories SkyVault says were used.</w:t>
      </w:r>
    </w:p>
    <w:p>
      <w:pPr>
        <w:keepNext w:val="0"/>
        <w:spacing w:before="0" w:after="40"/>
        <w:ind w:left="1037"/>
      </w:pPr>
      <w:r>
        <w:rPr>
          <w:b/>
          <w:i/>
          <w:sz w:val="20"/>
        </w:rPr>
        <w:t xml:space="preserve">Evidentiary purpose: </w:t>
      </w:r>
      <w:r>
        <w:rPr>
          <w:i/>
          <w:sz w:val="20"/>
        </w:rPr>
        <w:t>§ 3.4 is the contractual hinge of any independent-development position. The witness's contemporaneous understanding — and any instruction he gave his team — is a fact, and the answer will show whether the line was drawn deliberately or never considered.</w:t>
      </w:r>
    </w:p>
    <w:p>
      <w:pPr>
        <w:pStyle w:val="Heading2"/>
      </w:pPr>
      <w:r>
        <w:t>C.  Lead Family 3 — The Origin of PathForge Development</w:t>
      </w:r>
    </w:p>
    <w:p>
      <w:pPr>
        <w:spacing w:before="0" w:after="160"/>
        <w:ind w:left="0" w:firstLine="0"/>
      </w:pPr>
      <w:r>
        <w:rPr>
          <w:b w:val="0"/>
          <w:i w:val="0"/>
          <w:sz w:val="22"/>
        </w:rPr>
        <w:t>The questions in this family must be asked module by module, and within each module must separate conception from architecture, architecture from implementation, implementation from third-party dependencies, and all of those from testing and release. A single global question about “how PathForge was built” will produce an answer that cannot be tested against any record.</w:t>
      </w:r>
    </w:p>
    <w:p>
      <w:pPr>
        <w:keepNext/>
        <w:spacing w:before="180" w:after="40"/>
        <w:ind w:left="605" w:hanging="605"/>
      </w:pPr>
      <w:r>
        <w:rPr>
          <w:b/>
        </w:rPr>
        <w:t xml:space="preserve">H-20  </w:t>
      </w:r>
      <w:r>
        <w:t>For the multi-sensor fusion module: who conceived the architecture, when, what were the first written artifacts, and who wrote the initial implementation?</w:t>
      </w:r>
    </w:p>
    <w:p>
      <w:pPr>
        <w:keepNext/>
        <w:spacing w:before="0" w:after="40"/>
        <w:ind w:left="1037"/>
      </w:pPr>
      <w:r>
        <w:rPr>
          <w:b/>
          <w:i/>
          <w:sz w:val="20"/>
        </w:rPr>
        <w:t xml:space="preserve">Source: </w:t>
      </w:r>
      <w:r>
        <w:rPr>
          <w:i/>
          <w:sz w:val="20"/>
        </w:rPr>
        <w:t>White paper § 3.1 (sensor suite, EKF state vector, noise covariance weighting), § 3.2 (the seven-stage pipeline) and § 7.2 (“Q3 2018 – Q4 2019: Multi-sensor fusion module designed and prototyped”); Complaint ¶¶ 66–68 and the claim chart following ¶ 67 accuse this module under the '561 Patent.</w:t>
      </w:r>
    </w:p>
    <w:p>
      <w:pPr>
        <w:keepNext w:val="0"/>
        <w:spacing w:before="0" w:after="40"/>
        <w:ind w:left="1037"/>
      </w:pPr>
      <w:r>
        <w:rPr>
          <w:b/>
          <w:i/>
          <w:sz w:val="20"/>
        </w:rPr>
        <w:t xml:space="preserve">Evidentiary purpose: </w:t>
      </w:r>
      <w:r>
        <w:rPr>
          <w:i/>
          <w:sz w:val="20"/>
        </w:rPr>
        <w:t>This is the module tied to the only patent-in-suit with a priority date (March 14, 2017) inside the witness's SkyVault tenure. Conception date, first artifact and first author are the three facts that make an independent-development account provable or not.</w:t>
      </w:r>
    </w:p>
    <w:p>
      <w:pPr>
        <w:keepNext/>
        <w:spacing w:before="180" w:after="40"/>
        <w:ind w:left="605" w:hanging="605"/>
      </w:pPr>
      <w:r>
        <w:rPr>
          <w:b/>
        </w:rPr>
        <w:t xml:space="preserve">H-21  </w:t>
      </w:r>
      <w:r>
        <w:t>For the GPS-denied navigation module, including the adaptive path optimization in § 4.3: same questions — conception, first artifacts, implementers, and the sequence in which the sub-components were built.</w:t>
      </w:r>
    </w:p>
    <w:p>
      <w:pPr>
        <w:keepNext/>
        <w:spacing w:before="0" w:after="40"/>
        <w:ind w:left="1037"/>
      </w:pPr>
      <w:r>
        <w:rPr>
          <w:b/>
          <w:i/>
          <w:sz w:val="20"/>
        </w:rPr>
        <w:t xml:space="preserve">Source: </w:t>
      </w:r>
      <w:r>
        <w:rPr>
          <w:i/>
          <w:sz w:val="20"/>
        </w:rPr>
        <w:t>White paper § 4.2 (VIO pipeline: feature extraction and tracking, sliding-window optimization, keyframe-based map management, IMU pre-integration, plus the three claimed engineering additions), § 4.3 (uncertainty-aware replanning) and § 7.2 (“Q1 2019 – Q3 2020”); Complaint ¶ 77 accuses this module under the '227 Patent, which was filed November 9, 2018.</w:t>
      </w:r>
    </w:p>
    <w:p>
      <w:pPr>
        <w:keepNext w:val="0"/>
        <w:spacing w:before="0" w:after="40"/>
        <w:ind w:left="1037"/>
      </w:pPr>
      <w:r>
        <w:rPr>
          <w:b/>
          <w:i/>
          <w:sz w:val="20"/>
        </w:rPr>
        <w:t xml:space="preserve">Evidentiary purpose: </w:t>
      </w:r>
      <w:r>
        <w:rPr>
          <w:i/>
          <w:sz w:val="20"/>
        </w:rPr>
        <w:t>The white paper's own timeline places the start of this module's development within roughly one quarter of the '227 filing date and long after the witness's departure. Establishing the actual internal chronology is necessary both to the independent-development account and to any later assessment of what was publicly known when.</w:t>
      </w:r>
    </w:p>
    <w:p>
      <w:pPr>
        <w:keepNext/>
        <w:spacing w:before="180" w:after="40"/>
        <w:ind w:left="605" w:hanging="605"/>
      </w:pPr>
      <w:r>
        <w:rPr>
          <w:b/>
        </w:rPr>
        <w:t xml:space="preserve">H-22  </w:t>
      </w:r>
      <w:r>
        <w:t>For the swarm coordination module: same questions, and please reconcile the two dates the white paper gives for when that work began.</w:t>
      </w:r>
    </w:p>
    <w:p>
      <w:pPr>
        <w:keepNext/>
        <w:spacing w:before="0" w:after="40"/>
        <w:ind w:left="1037"/>
      </w:pPr>
      <w:r>
        <w:rPr>
          <w:b/>
          <w:i/>
          <w:sz w:val="20"/>
        </w:rPr>
        <w:t xml:space="preserve">Source: </w:t>
      </w:r>
      <w:r>
        <w:rPr>
          <w:i/>
          <w:sz w:val="20"/>
        </w:rPr>
        <w:t>White paper § 5.1 states the swarm module “was developed beginning in 2019, with first production deployment in early 2021”; § 7.2 gives “Q2 2019 – Q1 2021” for the same work; §§ 5.2 and 5.3 describe the mesh protocol, the 10 Hz heartbeat, the three-round consensus and the priority-based deconfliction; Complaint ¶ 85 accuses this module under the '889 Patent, filed June 22, 2020.</w:t>
      </w:r>
    </w:p>
    <w:p>
      <w:pPr>
        <w:keepNext w:val="0"/>
        <w:spacing w:before="0" w:after="40"/>
        <w:ind w:left="1037"/>
      </w:pPr>
      <w:r>
        <w:rPr>
          <w:b/>
          <w:i/>
          <w:sz w:val="20"/>
        </w:rPr>
        <w:t xml:space="preserve">Evidentiary purpose: </w:t>
      </w:r>
      <w:r>
        <w:rPr>
          <w:i/>
          <w:sz w:val="20"/>
        </w:rPr>
        <w:t>If Meridian's swarm work began in 2019 and the '889 was not filed until June 2020, the chronology is material to both the misappropriation theory and to questions of what was independently developed and when. The witness should reconcile his own published dates before anyone else does.</w:t>
      </w:r>
    </w:p>
    <w:p>
      <w:pPr>
        <w:keepNext/>
        <w:spacing w:before="180" w:after="40"/>
        <w:ind w:left="605" w:hanging="605"/>
      </w:pPr>
      <w:r>
        <w:rPr>
          <w:b/>
        </w:rPr>
        <w:t xml:space="preserve">H-23  </w:t>
      </w:r>
      <w:r>
        <w:t>For the Analytics Dashboard and the Hardware Integration Layer: who built them, when, and were they ever technically coupled to the navigation or swarm code?</w:t>
      </w:r>
    </w:p>
    <w:p>
      <w:pPr>
        <w:keepNext/>
        <w:spacing w:before="0" w:after="40"/>
        <w:ind w:left="1037"/>
      </w:pPr>
      <w:r>
        <w:rPr>
          <w:b/>
          <w:i/>
          <w:sz w:val="20"/>
        </w:rPr>
        <w:t xml:space="preserve">Source: </w:t>
      </w:r>
      <w:r>
        <w:rPr>
          <w:i/>
          <w:sz w:val="20"/>
        </w:rPr>
        <w:t>White paper § 7.1 items 3 and 4 (the two optional add-on modules) and § 7.2 (the September 2020 v1.0 launch “initially comprising the Navigation Module and Hardware Integration Layer”; Analytics Dashboard released Q3 2021); Complaint ¶¶ 56 and 59 treat “PathForge” as a single accused platform generating in excess of $50 million in cumulative revenue.</w:t>
      </w:r>
    </w:p>
    <w:p>
      <w:pPr>
        <w:keepNext w:val="0"/>
        <w:spacing w:before="0" w:after="40"/>
        <w:ind w:left="1037"/>
      </w:pPr>
      <w:r>
        <w:rPr>
          <w:b/>
          <w:i/>
          <w:sz w:val="20"/>
        </w:rPr>
        <w:t xml:space="preserve">Evidentiary purpose: </w:t>
      </w:r>
      <w:r>
        <w:rPr>
          <w:i/>
          <w:sz w:val="20"/>
        </w:rPr>
        <w:t>SkyVault accuses the platform as a whole and attributes all PathForge revenue to the alleged misappropriation (¶ 146). Module separability is therefore a fact question with direct consequences, and two of the four modules are not touched by any accusation in the Complaint.</w:t>
      </w:r>
    </w:p>
    <w:p>
      <w:pPr>
        <w:keepNext/>
        <w:spacing w:before="180" w:after="40"/>
        <w:ind w:left="605" w:hanging="605"/>
      </w:pPr>
      <w:r>
        <w:rPr>
          <w:b/>
        </w:rPr>
        <w:t xml:space="preserve">H-24  </w:t>
      </w:r>
      <w:r>
        <w:t>For each module, who else contributed — employees, contractors, interns, acquired teams — and did any of them previously work at SkyVault?</w:t>
      </w:r>
    </w:p>
    <w:p>
      <w:pPr>
        <w:keepNext/>
        <w:spacing w:before="0" w:after="40"/>
        <w:ind w:left="1037"/>
      </w:pPr>
      <w:r>
        <w:rPr>
          <w:b/>
          <w:i/>
          <w:sz w:val="20"/>
        </w:rPr>
        <w:t xml:space="preserve">Source: </w:t>
      </w:r>
      <w:r>
        <w:rPr>
          <w:i/>
          <w:sz w:val="20"/>
        </w:rPr>
        <w:t>White paper § 1 (a dedicated engineering team of approximately 45 working full-time on PathForge) and § 7.2 (“All PathForge technology was developed independently by the Meridian engineering team”); ECIAA § 7.1 prohibited soliciting or hiring SkyVault employees for twelve months after termination, i.e., through February 16, 2019, and extends to anyone who was a SkyVault employee within the preceding six months; Complaint ¶ 55 alleges on information and belief that Holt disclosed SkyVault material to Meridian engineers.</w:t>
      </w:r>
    </w:p>
    <w:p>
      <w:pPr>
        <w:keepNext w:val="0"/>
        <w:spacing w:before="0" w:after="40"/>
        <w:ind w:left="1037"/>
      </w:pPr>
      <w:r>
        <w:rPr>
          <w:b/>
          <w:i/>
          <w:sz w:val="20"/>
        </w:rPr>
        <w:t xml:space="preserve">Evidentiary purpose: </w:t>
      </w:r>
      <w:r>
        <w:rPr>
          <w:i/>
          <w:sz w:val="20"/>
        </w:rPr>
        <w:t>Identifies the additional interview population and tests a contractual exposure the Complaint does not currently plead. A SkyVault-to-Meridian personnel path, if one exists, must be found by us first.</w:t>
      </w:r>
    </w:p>
    <w:p>
      <w:pPr>
        <w:keepNext/>
        <w:spacing w:before="180" w:after="40"/>
        <w:ind w:left="605" w:hanging="605"/>
      </w:pPr>
      <w:r>
        <w:rPr>
          <w:b/>
        </w:rPr>
        <w:t xml:space="preserve">H-25  </w:t>
      </w:r>
      <w:r>
        <w:t>Where does PathForge source code live, what version-control system has it used since 2018, and is the commit history complete and unaltered?</w:t>
      </w:r>
    </w:p>
    <w:p>
      <w:pPr>
        <w:keepNext/>
        <w:spacing w:before="0" w:after="40"/>
        <w:ind w:left="1037"/>
      </w:pPr>
      <w:r>
        <w:rPr>
          <w:b/>
          <w:i/>
          <w:sz w:val="20"/>
        </w:rPr>
        <w:t xml:space="preserve">Source: </w:t>
      </w:r>
      <w:r>
        <w:rPr>
          <w:i/>
          <w:sz w:val="20"/>
        </w:rPr>
        <w:t>White paper § 7.2 (development beginning April 2018) supplies the period that must be covered; Complaint ¶¶ 118–120 allege that PathForge firmware contains direct copies, modified versions or derivative works of AeroCore code; the April 5, 2024 letter, item 3, declined a pre-litigation source code audit as premature and overbroad outside formal litigation with protective measures.</w:t>
      </w:r>
    </w:p>
    <w:p>
      <w:pPr>
        <w:keepNext w:val="0"/>
        <w:spacing w:before="0" w:after="40"/>
        <w:ind w:left="1037"/>
      </w:pPr>
      <w:r>
        <w:rPr>
          <w:b/>
          <w:i/>
          <w:sz w:val="20"/>
        </w:rPr>
        <w:t xml:space="preserve">Evidentiary purpose: </w:t>
      </w:r>
      <w:r>
        <w:rPr>
          <w:i/>
          <w:sz w:val="20"/>
        </w:rPr>
        <w:t>Repository integrity determines whether independent development is provable at all. A complete incremental history from 2018 is the strongest available answer to ¶ 119's “cannot be explained by independent creation” allegation; any gap, import or rewrite must be known to us now rather than discovered in production.</w:t>
      </w:r>
    </w:p>
    <w:p>
      <w:pPr>
        <w:keepNext/>
        <w:spacing w:before="180" w:after="40"/>
        <w:ind w:left="605" w:hanging="605"/>
      </w:pPr>
      <w:r>
        <w:rPr>
          <w:b/>
        </w:rPr>
        <w:t xml:space="preserve">H-26  </w:t>
      </w:r>
      <w:r>
        <w:t>What third-party and open-source components does PathForge incorporate, how are they declared, and who approves a new dependency?</w:t>
      </w:r>
    </w:p>
    <w:p>
      <w:pPr>
        <w:keepNext/>
        <w:spacing w:before="0" w:after="40"/>
        <w:ind w:left="1037"/>
      </w:pPr>
      <w:r>
        <w:rPr>
          <w:b/>
          <w:i/>
          <w:sz w:val="20"/>
        </w:rPr>
        <w:t xml:space="preserve">Source: </w:t>
      </w:r>
      <w:r>
        <w:rPr>
          <w:i/>
          <w:sz w:val="20"/>
        </w:rPr>
        <w:t>White paper § 2 and § 7.2 describe reliance on published literature and “publicly available implementations”; the April 5, 2024 letter asserts that Meridian “maintains robust internal compliance processes designed to safeguard against the unauthorized use of third-party intellectual property.”</w:t>
      </w:r>
    </w:p>
    <w:p>
      <w:pPr>
        <w:keepNext w:val="0"/>
        <w:spacing w:before="0" w:after="40"/>
        <w:ind w:left="1037"/>
      </w:pPr>
      <w:r>
        <w:rPr>
          <w:b/>
          <w:i/>
          <w:sz w:val="20"/>
        </w:rPr>
        <w:t xml:space="preserve">Evidentiary purpose: </w:t>
      </w:r>
      <w:r>
        <w:rPr>
          <w:i/>
          <w:sz w:val="20"/>
        </w:rPr>
        <w:t>Substantiates or undercuts a representation already made in writing to opposing counsel. Dependency manifests are also the quickest objective test of whether any externally sourced code entered the platform and when.</w:t>
      </w:r>
    </w:p>
    <w:p>
      <w:pPr>
        <w:keepNext/>
        <w:spacing w:before="180" w:after="40"/>
        <w:ind w:left="605" w:hanging="605"/>
      </w:pPr>
      <w:r>
        <w:rPr>
          <w:b/>
        </w:rPr>
        <w:t xml:space="preserve">H-27  </w:t>
      </w:r>
      <w:r>
        <w:t>What testing and benchmark records support the performance figures published in the white paper?</w:t>
      </w:r>
    </w:p>
    <w:p>
      <w:pPr>
        <w:keepNext/>
        <w:spacing w:before="0" w:after="40"/>
        <w:ind w:left="1037"/>
      </w:pPr>
      <w:r>
        <w:rPr>
          <w:b/>
          <w:i/>
          <w:sz w:val="20"/>
        </w:rPr>
        <w:t xml:space="preserve">Source: </w:t>
      </w:r>
      <w:r>
        <w:rPr>
          <w:i/>
          <w:sz w:val="20"/>
        </w:rPr>
        <w:t>White paper § 3.3 and Table 0 (99.7% detection rate, &lt;0.2% false positives, 38 ms latency, 8 cm RMS structured / 14 cm RMS unstructured), § 4.4 and Table 1 (&lt;0.5% drift, 45-minute maximum GPS-denied flight, 97.3% mission completion, tested in a 10,000 sq. ft. warehouse, a 1.2 km utility tunnel and a simulated urban canyon) and § 5.4 and Table 2 (24-drone maximum tested swarm, 14 ms inter-drone latency, zero collisions across 1,200+ hours).</w:t>
      </w:r>
    </w:p>
    <w:p>
      <w:pPr>
        <w:keepNext w:val="0"/>
        <w:spacing w:before="0" w:after="40"/>
        <w:ind w:left="1037"/>
      </w:pPr>
      <w:r>
        <w:rPr>
          <w:b/>
          <w:i/>
          <w:sz w:val="20"/>
        </w:rPr>
        <w:t xml:space="preserve">Evidentiary purpose: </w:t>
      </w:r>
      <w:r>
        <w:rPr>
          <w:i/>
          <w:sz w:val="20"/>
        </w:rPr>
        <w:t>Contemporaneous test data is independent-development evidence of a kind that is difficult to reconstruct after the fact: it shows iterative engineering with failures and revisions. It is also the only way to determine whether the published figures were measured or aspirational.</w:t>
      </w:r>
    </w:p>
    <w:p>
      <w:pPr>
        <w:keepNext/>
        <w:spacing w:before="180" w:after="40"/>
        <w:ind w:left="605" w:hanging="605"/>
      </w:pPr>
      <w:r>
        <w:rPr>
          <w:b/>
        </w:rPr>
        <w:t xml:space="preserve">H-28  </w:t>
      </w:r>
      <w:r>
        <w:t>Did any file, document, excerpt, or fragment originating at SkyVault ever reach a Meridian system, device, repository, or person — directly or indirectly, then or since?</w:t>
      </w:r>
    </w:p>
    <w:p>
      <w:pPr>
        <w:keepNext/>
        <w:spacing w:before="0" w:after="40"/>
        <w:ind w:left="1037"/>
      </w:pPr>
      <w:r>
        <w:rPr>
          <w:b/>
          <w:i/>
          <w:sz w:val="20"/>
        </w:rPr>
        <w:t xml:space="preserve">Source: </w:t>
      </w:r>
      <w:r>
        <w:rPr>
          <w:i/>
          <w:sz w:val="20"/>
        </w:rPr>
        <w:t>Exhibit F, Report Metadata, B7, limits the log to SkyVault systems and to the period January 1 through February 28, 2018, and the Forensic Log contains no event connecting the SanDisk device (Row # s 33–35) to anything outside SkyVault; Complaint ¶¶ 54–55 and 95 allege the connection on information and belief.</w:t>
      </w:r>
    </w:p>
    <w:p>
      <w:pPr>
        <w:keepNext w:val="0"/>
        <w:spacing w:before="0" w:after="40"/>
        <w:ind w:left="1037"/>
      </w:pPr>
      <w:r>
        <w:rPr>
          <w:b/>
          <w:i/>
          <w:sz w:val="20"/>
        </w:rPr>
        <w:t xml:space="preserve">Evidentiary purpose: </w:t>
      </w:r>
      <w:r>
        <w:rPr>
          <w:i/>
          <w:sz w:val="20"/>
        </w:rPr>
        <w:t>This is the factual bridge SkyVault's entire case requires and that its own exhibit does not span. The question must be asked squarely, in open form, and the answer documented precisely — including any qualification — because it is the answer we will be held to.</w:t>
      </w:r>
    </w:p>
    <w:p>
      <w:pPr>
        <w:keepNext/>
        <w:spacing w:before="180" w:after="40"/>
        <w:ind w:left="605" w:hanging="605"/>
      </w:pPr>
      <w:r>
        <w:rPr>
          <w:b/>
        </w:rPr>
        <w:t xml:space="preserve">H-29  </w:t>
      </w:r>
      <w:r>
        <w:t>Do the file names navfusion.c, pathoptengine.h or swarm_proto.cpp mean anything to you, and do files by those or similar names exist anywhere at Meridian?</w:t>
      </w:r>
    </w:p>
    <w:p>
      <w:pPr>
        <w:keepNext/>
        <w:spacing w:before="0" w:after="40"/>
        <w:ind w:left="1037"/>
      </w:pPr>
      <w:r>
        <w:rPr>
          <w:b/>
          <w:i/>
          <w:sz w:val="20"/>
        </w:rPr>
        <w:t xml:space="preserve">Source: </w:t>
      </w:r>
      <w:r>
        <w:rPr>
          <w:i/>
          <w:sz w:val="20"/>
        </w:rPr>
        <w:t>Complaint ¶¶ 33, 116 and 118 identify those three files as the AeroCore source files alleged to be substantially similar to PathForge firmware; Exhibit F records no .c, .h or .cpp artifact at all — the only code-like objects in the log are Row # 8 (sf_point_cloud_processor_v1.4.py) and Row # 15 (swarm_failover_logic_v1.2.py), both single-file downloads to local disk, and every bulk event lists Confluence wiki spaces rather than a source-code repository.</w:t>
      </w:r>
    </w:p>
    <w:p>
      <w:pPr>
        <w:keepNext w:val="0"/>
        <w:spacing w:before="0" w:after="40"/>
        <w:ind w:left="1037"/>
      </w:pPr>
      <w:r>
        <w:rPr>
          <w:b/>
          <w:i/>
          <w:sz w:val="20"/>
        </w:rPr>
        <w:t xml:space="preserve">Evidentiary purpose: </w:t>
      </w:r>
      <w:r>
        <w:rPr>
          <w:i/>
          <w:sz w:val="20"/>
        </w:rPr>
        <w:t>Isolates the copyright theory from the trade-secret theory. The Complaint's copying allegation rests on three named source files, while its only forensic exhibit documents wiki-space exports — a gap that should be tested with the witness before it is tested in discovery.</w:t>
      </w:r>
    </w:p>
    <w:p>
      <w:pPr>
        <w:pStyle w:val="Heading2"/>
      </w:pPr>
      <w:r>
        <w:t>D.  Lead Family 4 — The White Paper: Title, Authorship and Provenance</w:t>
      </w:r>
    </w:p>
    <w:p>
      <w:pPr>
        <w:keepNext/>
        <w:spacing w:before="180" w:after="40"/>
        <w:ind w:left="605" w:hanging="605"/>
      </w:pPr>
      <w:r>
        <w:rPr>
          <w:b/>
        </w:rPr>
        <w:t xml:space="preserve">H-30  </w:t>
      </w:r>
      <w:r>
        <w:t>Who conceived, drafted, edited and approved the white paper, and which sections did you personally write?</w:t>
      </w:r>
    </w:p>
    <w:p>
      <w:pPr>
        <w:keepNext/>
        <w:spacing w:before="0" w:after="40"/>
        <w:ind w:left="1037"/>
      </w:pPr>
      <w:r>
        <w:rPr>
          <w:b/>
          <w:i/>
          <w:sz w:val="20"/>
        </w:rPr>
        <w:t xml:space="preserve">Source: </w:t>
      </w:r>
      <w:r>
        <w:rPr>
          <w:i/>
          <w:sz w:val="20"/>
        </w:rPr>
        <w:t>White paper cover page (title “PathForge: Next-Generation Autonomous Navigation”; subtitle “A Technical Overview of Meridian Dynamics' Autonomous Drone Navigation Platform”; dated July 2022; byline “Dr. Marcus Holt, CTO and Co-Founder / PathForge Engineering Team”; classification “Public Release / Marketing Technical Paper”) and the closing legend “PathForge White Paper v1.0 — July 2022”; Complaint ¶ 57 attributes the document to “Dr. Marcus Holt and the Meridian engineering team” and ¶¶ 97 and 109 make the same document SkyVault's claimed date of discovery.</w:t>
      </w:r>
    </w:p>
    <w:p>
      <w:pPr>
        <w:keepNext w:val="0"/>
        <w:spacing w:before="0" w:after="40"/>
        <w:ind w:left="1037"/>
      </w:pPr>
      <w:r>
        <w:rPr>
          <w:b/>
          <w:i/>
          <w:sz w:val="20"/>
        </w:rPr>
        <w:t xml:space="preserve">Evidentiary purpose: </w:t>
      </w:r>
      <w:r>
        <w:rPr>
          <w:i/>
          <w:sz w:val="20"/>
        </w:rPr>
        <w:t>SkyVault relies on the white paper both as its infringement evidence and as its limitations trigger. Personal authorship of specific sections determines which statements are attributable to this witness and which are collective or marketing-authored.</w:t>
      </w:r>
    </w:p>
    <w:p>
      <w:pPr>
        <w:keepNext/>
        <w:spacing w:before="180" w:after="40"/>
        <w:ind w:left="605" w:hanging="605"/>
      </w:pPr>
      <w:r>
        <w:rPr>
          <w:b/>
        </w:rPr>
        <w:t xml:space="preserve">H-31  </w:t>
      </w:r>
      <w:r>
        <w:t>Is the July 2022 v1.0 the only version of this paper, and where and to whom was it published or distributed?</w:t>
      </w:r>
    </w:p>
    <w:p>
      <w:pPr>
        <w:keepNext/>
        <w:spacing w:before="0" w:after="40"/>
        <w:ind w:left="1037"/>
      </w:pPr>
      <w:r>
        <w:rPr>
          <w:b/>
          <w:i/>
          <w:sz w:val="20"/>
        </w:rPr>
        <w:t xml:space="preserve">Source: </w:t>
      </w:r>
      <w:r>
        <w:rPr>
          <w:i/>
          <w:sz w:val="20"/>
        </w:rPr>
        <w:t>White paper closing legend (“v1.0 — July 2022”) and the copyright notice stating that the technical descriptions “represent PathForge capabilities as of the date of publication … and are subject to change”; Complaint ¶ 57 pleads publication “in or about July 2022.”</w:t>
      </w:r>
    </w:p>
    <w:p>
      <w:pPr>
        <w:keepNext w:val="0"/>
        <w:spacing w:before="0" w:after="40"/>
        <w:ind w:left="1037"/>
      </w:pPr>
      <w:r>
        <w:rPr>
          <w:b/>
          <w:i/>
          <w:sz w:val="20"/>
        </w:rPr>
        <w:t xml:space="preserve">Evidentiary purpose: </w:t>
      </w:r>
      <w:r>
        <w:rPr>
          <w:i/>
          <w:sz w:val="20"/>
        </w:rPr>
        <w:t>Version control over the document matters because SkyVault's discovery allegation is keyed to publication and because its claim chart quotes language we cannot locate in the version we hold (see H-33). Distribution scope also bears on public availability.</w:t>
      </w:r>
    </w:p>
    <w:p>
      <w:pPr>
        <w:keepNext/>
        <w:spacing w:before="180" w:after="40"/>
        <w:ind w:left="605" w:hanging="605"/>
      </w:pPr>
      <w:r>
        <w:rPr>
          <w:b/>
        </w:rPr>
        <w:t xml:space="preserve">H-32  </w:t>
      </w:r>
      <w:r>
        <w:t>Who prepared the excerpt in circulation, when, and for what purpose — and what exactly is missing from it?</w:t>
      </w:r>
    </w:p>
    <w:p>
      <w:pPr>
        <w:keepNext/>
        <w:spacing w:before="0" w:after="40"/>
        <w:ind w:left="1037"/>
      </w:pPr>
      <w:r>
        <w:rPr>
          <w:b/>
          <w:i/>
          <w:sz w:val="20"/>
        </w:rPr>
        <w:t xml:space="preserve">Source: </w:t>
      </w:r>
      <w:r>
        <w:rPr>
          <w:i/>
          <w:sz w:val="20"/>
        </w:rPr>
        <w:t>The excerpt's own front-matter states that it is “an excerpt of the full PathForge Technical White Paper (42 pages)” and “contains Sections 1–5 and Section 7, omitting detailed hardware specifications (Section 6) and appendices” — yet the excerpt as received also contains a Section 8 conclusion, a four-item reference list, and a bracketed placeholder where Section 6 would appear.</w:t>
      </w:r>
    </w:p>
    <w:p>
      <w:pPr>
        <w:keepNext w:val="0"/>
        <w:spacing w:before="0" w:after="40"/>
        <w:ind w:left="1037"/>
      </w:pPr>
      <w:r>
        <w:rPr>
          <w:b/>
          <w:i/>
          <w:sz w:val="20"/>
        </w:rPr>
        <w:t xml:space="preserve">Evidentiary purpose: </w:t>
      </w:r>
      <w:r>
        <w:rPr>
          <w:i/>
          <w:sz w:val="20"/>
        </w:rPr>
        <w:t>Authentication and completeness. The excerpt's self-description does not match its contents, so the provenance of the excerpt itself must be established before any comparison drawn from it — by either side — is relied upon. The complete 42-page v1.0 must be located and preserved.</w:t>
      </w:r>
    </w:p>
    <w:p>
      <w:pPr>
        <w:keepNext/>
        <w:spacing w:before="180" w:after="40"/>
        <w:ind w:left="605" w:hanging="605"/>
      </w:pPr>
      <w:r>
        <w:rPr>
          <w:b/>
        </w:rPr>
        <w:t xml:space="preserve">H-33  </w:t>
      </w:r>
      <w:r>
        <w:t>Have the terms “Sensor Integration Layer,” “Threat Assessment Module,” “Dynamic Path Replanner” or “Flight Controller API” ever been used at Meridian — in a document, a code identifier, an API name, a specification, or marketing material?</w:t>
      </w:r>
    </w:p>
    <w:p>
      <w:pPr>
        <w:keepNext/>
        <w:spacing w:before="0" w:after="40"/>
        <w:ind w:left="1037"/>
      </w:pPr>
      <w:r>
        <w:rPr>
          <w:b/>
          <w:i/>
          <w:sz w:val="20"/>
        </w:rPr>
        <w:t xml:space="preserve">Source: </w:t>
      </w:r>
      <w:r>
        <w:rPr>
          <w:i/>
          <w:sz w:val="20"/>
        </w:rPr>
        <w:t>The Complaint's '561 claim chart following ¶ 67 attributes each of those component names to the white paper and quotes specific language from “Section 2.1,” “Section 3.1,” “Section 3.2” (a “unified three-dimensional environmental model refreshed at 30 Hz”), “Section 4.1,” “Section 4.3” (alternative trajectories “in under 50 milliseconds”) and “Section 5.1”; none of those four component names, and none of the quoted phrases, appears anywhere in the white-paper excerpt we hold, whose § 3.1 is “Architecture Overview,” § 3.2 is “Obstacle Detection and Avoidance Pipeline,” § 4.1 is “Problem Statement,” § 4.3 is “Adaptive Flight Path Optimization” and § 5.1 is the swarm “Overview,” and which reports a 38 ms measured latency rather than a 30 Hz refresh or a 50 ms replanning figure.</w:t>
      </w:r>
    </w:p>
    <w:p>
      <w:pPr>
        <w:keepNext w:val="0"/>
        <w:spacing w:before="0" w:after="40"/>
        <w:ind w:left="1037"/>
      </w:pPr>
      <w:r>
        <w:rPr>
          <w:b/>
          <w:i/>
          <w:sz w:val="20"/>
        </w:rPr>
        <w:t xml:space="preserve">Evidentiary purpose: </w:t>
      </w:r>
      <w:r>
        <w:rPr>
          <w:i/>
          <w:sz w:val="20"/>
        </w:rPr>
        <w:t>Determines whether SkyVault is quoting a different Meridian document, a different version of this one, the unidentified “marketing materials” its chart also invokes at limitation 1[a], or is mischaracterizing the paper. The answer is needed before the partner assesses the claim chart, and it identifies documents we must collect either way.</w:t>
      </w:r>
    </w:p>
    <w:p>
      <w:pPr>
        <w:keepNext/>
        <w:spacing w:before="180" w:after="40"/>
        <w:ind w:left="605" w:hanging="605"/>
      </w:pPr>
      <w:r>
        <w:rPr>
          <w:b/>
        </w:rPr>
        <w:t xml:space="preserve">H-34  </w:t>
      </w:r>
      <w:r>
        <w:t>What marketing materials describing the PathForge sensor hardware configuration existed as of 2024, and who produced them?</w:t>
      </w:r>
    </w:p>
    <w:p>
      <w:pPr>
        <w:keepNext/>
        <w:spacing w:before="0" w:after="40"/>
        <w:ind w:left="1037"/>
      </w:pPr>
      <w:r>
        <w:rPr>
          <w:b/>
          <w:i/>
          <w:sz w:val="20"/>
        </w:rPr>
        <w:t xml:space="preserve">Source: </w:t>
      </w:r>
      <w:r>
        <w:rPr>
          <w:i/>
          <w:sz w:val="20"/>
        </w:rPr>
        <w:t>The Complaint's claim chart at limitation 1[a] states that “Meridian's marketing materials similarly describe the PathForge sensor hardware configuration,” without identifying them; white paper § 3.1 describes the sensor suite (360-degree LiDAR at 20 Hz to 120 m, stereo cameras at 30 fps from 0.5 to 30 m, a 6-axis IMU at 200 Hz, and ultrasonic sensors to 5 m).</w:t>
      </w:r>
    </w:p>
    <w:p>
      <w:pPr>
        <w:keepNext w:val="0"/>
        <w:spacing w:before="0" w:after="40"/>
        <w:ind w:left="1037"/>
      </w:pPr>
      <w:r>
        <w:rPr>
          <w:b/>
          <w:i/>
          <w:sz w:val="20"/>
        </w:rPr>
        <w:t xml:space="preserve">Evidentiary purpose: </w:t>
      </w:r>
      <w:r>
        <w:rPr>
          <w:i/>
          <w:sz w:val="20"/>
        </w:rPr>
        <w:t>Identifies an unnamed category of accused evidence. Marketing descriptions are drafted to persuade and may diverge from the as-built system; we need the full set before any technical comparison is attempted.</w:t>
      </w:r>
    </w:p>
    <w:p>
      <w:pPr>
        <w:keepNext/>
        <w:spacing w:before="180" w:after="40"/>
        <w:ind w:left="605" w:hanging="605"/>
      </w:pPr>
      <w:r>
        <w:rPr>
          <w:b/>
        </w:rPr>
        <w:t xml:space="preserve">H-35  </w:t>
      </w:r>
      <w:r>
        <w:t>Were the published performance figures measured, targeted, or aspirational — and who verified them before publication?</w:t>
      </w:r>
    </w:p>
    <w:p>
      <w:pPr>
        <w:keepNext/>
        <w:spacing w:before="0" w:after="40"/>
        <w:ind w:left="1037"/>
      </w:pPr>
      <w:r>
        <w:rPr>
          <w:b/>
          <w:i/>
          <w:sz w:val="20"/>
        </w:rPr>
        <w:t xml:space="preserve">Source: </w:t>
      </w:r>
      <w:r>
        <w:rPr>
          <w:i/>
          <w:sz w:val="20"/>
        </w:rPr>
        <w:t>White paper § 1 (“sub-40-millisecond latency”, accuracy “within 10 centimeters”), § 3.1 (“a target obstacle detection latency of under 40 milliseconds”), § 3.3 and Table 0 (38 ms and 8 cm as recorded results, and the claimed 19% and 47% improvements over Vasquez (2016)); the cover classification “Public Release / Marketing Technical Paper.”</w:t>
      </w:r>
    </w:p>
    <w:p>
      <w:pPr>
        <w:keepNext w:val="0"/>
        <w:spacing w:before="0" w:after="40"/>
        <w:ind w:left="1037"/>
      </w:pPr>
      <w:r>
        <w:rPr>
          <w:b/>
          <w:i/>
          <w:sz w:val="20"/>
        </w:rPr>
        <w:t xml:space="preserve">Evidentiary purpose: </w:t>
      </w:r>
      <w:r>
        <w:rPr>
          <w:i/>
          <w:sz w:val="20"/>
        </w:rPr>
        <w:t>The document mixes design targets with measured results in adjacent sentences. Because SkyVault's infringement chart reads the paper as an engineering specification, the distinction between target and measurement must be established from the author and from the underlying test data.</w:t>
      </w:r>
    </w:p>
    <w:p>
      <w:pPr>
        <w:pStyle w:val="Heading2"/>
      </w:pPr>
      <w:r>
        <w:t>E.  Lead Family 5 — DroneNav and Other Public Sources</w:t>
      </w:r>
    </w:p>
    <w:p>
      <w:pPr>
        <w:spacing w:before="0" w:after="160"/>
        <w:ind w:left="0" w:firstLine="0"/>
      </w:pPr>
      <w:r>
        <w:rPr>
          <w:b w:val="0"/>
          <w:i w:val="0"/>
          <w:sz w:val="22"/>
        </w:rPr>
        <w:t>For every public source, the questions must separate eight distinct states, because they carry different legal consequences: awareness of the source; citation of it; evaluation or benchmarking of it; cloning or downloading the code; introducing it as a build dependency; modifying or adapting it; using it in the shipped product; and considering but not using it. A witness who answers “we used DroneNav” has told us almost nothing.</w:t>
      </w:r>
    </w:p>
    <w:p>
      <w:pPr>
        <w:keepNext/>
        <w:spacing w:before="180" w:after="40"/>
        <w:ind w:left="605" w:hanging="605"/>
      </w:pPr>
      <w:r>
        <w:rPr>
          <w:b/>
        </w:rPr>
        <w:t xml:space="preserve">H-36  </w:t>
      </w:r>
      <w:r>
        <w:t>When and how did you first become aware of the DroneNav project?</w:t>
      </w:r>
    </w:p>
    <w:p>
      <w:pPr>
        <w:keepNext/>
        <w:spacing w:before="0" w:after="40"/>
        <w:ind w:left="1037"/>
      </w:pPr>
      <w:r>
        <w:rPr>
          <w:b/>
          <w:i/>
          <w:sz w:val="20"/>
        </w:rPr>
        <w:t xml:space="preserve">Source: </w:t>
      </w:r>
      <w:r>
        <w:rPr>
          <w:i/>
          <w:sz w:val="20"/>
        </w:rPr>
        <w:t>White paper § 2 and § 4.2 describe DroneNav as an open-source visual-inertial odometry project, Reference 2 gives “DroneNav Project, GitHub Repository, first committed August 15, 2017, https://github.com/dronenav/dronenav”, and § 7.2 states that the GPS-denied module's design was “informed by … publicly available implementations including the DroneNav open-source project (2017)”; Complaint ¶ 43 places the witness at SkyVault until February 16, 2018, so the first-commit date falls inside his SkyVault tenure.</w:t>
      </w:r>
    </w:p>
    <w:p>
      <w:pPr>
        <w:keepNext w:val="0"/>
        <w:spacing w:before="0" w:after="40"/>
        <w:ind w:left="1037"/>
      </w:pPr>
      <w:r>
        <w:rPr>
          <w:b/>
          <w:i/>
          <w:sz w:val="20"/>
        </w:rPr>
        <w:t xml:space="preserve">Evidentiary purpose: </w:t>
      </w:r>
      <w:r>
        <w:rPr>
          <w:i/>
          <w:sz w:val="20"/>
        </w:rPr>
        <w:t>Fixes the date of awareness relative to employment. Public availability as of August 2017 is also potentially relevant to what was and was not secret, but only if the timing and the content of the public disclosure are established precisely.</w:t>
      </w:r>
    </w:p>
    <w:p>
      <w:pPr>
        <w:keepNext/>
        <w:spacing w:before="180" w:after="40"/>
        <w:ind w:left="605" w:hanging="605"/>
      </w:pPr>
      <w:r>
        <w:rPr>
          <w:b/>
        </w:rPr>
        <w:t xml:space="preserve">H-37  </w:t>
      </w:r>
      <w:r>
        <w:t>Distinguish for us what was actually done with the DroneNav codebase: was it read in a browser, cloned or downloaded, built and run, benchmarked against PathForge, adapted, or linked in as a dependency — and by whom and when in each case?</w:t>
      </w:r>
    </w:p>
    <w:p>
      <w:pPr>
        <w:keepNext/>
        <w:spacing w:before="0" w:after="40"/>
        <w:ind w:left="1037"/>
      </w:pPr>
      <w:r>
        <w:rPr>
          <w:b/>
          <w:i/>
          <w:sz w:val="20"/>
        </w:rPr>
        <w:t xml:space="preserve">Source: </w:t>
      </w:r>
      <w:r>
        <w:rPr>
          <w:i/>
          <w:sz w:val="20"/>
        </w:rPr>
        <w:t>White paper § 4.2 states that DroneNav's “publicly available codebase implemented the core pipeline of feature tracking, sliding-window optimization, keyframe management, and IMU pre-integration for monocular camera configurations” and that PathForge's VIO pipeline “was developed independently, drawing on the same well-known algorithmic foundations”; § 4.3 says PathForge “extends the foundational VIO-based navigation demonstrated in projects like DroneNav.”</w:t>
      </w:r>
    </w:p>
    <w:p>
      <w:pPr>
        <w:keepNext w:val="0"/>
        <w:spacing w:before="0" w:after="40"/>
        <w:ind w:left="1037"/>
      </w:pPr>
      <w:r>
        <w:rPr>
          <w:b/>
          <w:i/>
          <w:sz w:val="20"/>
        </w:rPr>
        <w:t xml:space="preserve">Evidentiary purpose: </w:t>
      </w:r>
      <w:r>
        <w:rPr>
          <w:i/>
          <w:sz w:val="20"/>
        </w:rPr>
        <w:t>The white paper asserts conceptual influence and independent implementation in the same breath. Which of the eight states above actually occurred is a factual question with sharply different consequences for copyright, licensing and independent development, and it can be corroborated against clone logs, build manifests and machine artifacts.</w:t>
      </w:r>
    </w:p>
    <w:p>
      <w:pPr>
        <w:keepNext/>
        <w:spacing w:before="180" w:after="40"/>
        <w:ind w:left="605" w:hanging="605"/>
      </w:pPr>
      <w:r>
        <w:rPr>
          <w:b/>
        </w:rPr>
        <w:t xml:space="preserve">H-38  </w:t>
      </w:r>
      <w:r>
        <w:t>What license does DroneNav carry, and what license-compliance steps were taken by anyone at Meridian in relation to it?</w:t>
      </w:r>
    </w:p>
    <w:p>
      <w:pPr>
        <w:keepNext/>
        <w:spacing w:before="0" w:after="40"/>
        <w:ind w:left="1037"/>
      </w:pPr>
      <w:r>
        <w:rPr>
          <w:b/>
          <w:i/>
          <w:sz w:val="20"/>
        </w:rPr>
        <w:t xml:space="preserve">Source: </w:t>
      </w:r>
      <w:r>
        <w:rPr>
          <w:i/>
          <w:sz w:val="20"/>
        </w:rPr>
        <w:t>White paper Reference 2 and § 4.2 identify the repository but state no license; the April 5, 2024 letter asserts “robust internal compliance processes designed to safeguard against the unauthorized use of third-party intellectual property.”</w:t>
      </w:r>
    </w:p>
    <w:p>
      <w:pPr>
        <w:keepNext w:val="0"/>
        <w:spacing w:before="0" w:after="40"/>
        <w:ind w:left="1037"/>
      </w:pPr>
      <w:r>
        <w:rPr>
          <w:b/>
          <w:i/>
          <w:sz w:val="20"/>
        </w:rPr>
        <w:t xml:space="preserve">Evidentiary purpose: </w:t>
      </w:r>
      <w:r>
        <w:rPr>
          <w:i/>
          <w:sz w:val="20"/>
        </w:rPr>
        <w:t>An open-source obligation is a live risk independent of SkyVault's claims, and an unmet one would directly contradict a representation already made to opposing counsel. We need to know before SkyVault does.</w:t>
      </w:r>
    </w:p>
    <w:p>
      <w:pPr>
        <w:keepNext/>
        <w:spacing w:before="180" w:after="40"/>
        <w:ind w:left="605" w:hanging="605"/>
      </w:pPr>
      <w:r>
        <w:rPr>
          <w:b/>
        </w:rPr>
        <w:t xml:space="preserve">H-39  </w:t>
      </w:r>
      <w:r>
        <w:t>Did you ever contribute to DroneNav, correspond with its maintainers, or discuss it with anyone while you were at SkyVault?</w:t>
      </w:r>
    </w:p>
    <w:p>
      <w:pPr>
        <w:keepNext/>
        <w:spacing w:before="0" w:after="40"/>
        <w:ind w:left="1037"/>
      </w:pPr>
      <w:r>
        <w:rPr>
          <w:b/>
          <w:i/>
          <w:sz w:val="20"/>
        </w:rPr>
        <w:t xml:space="preserve">Source: </w:t>
      </w:r>
      <w:r>
        <w:rPr>
          <w:i/>
          <w:sz w:val="20"/>
        </w:rPr>
        <w:t>White paper Reference 2 (first commit August 15, 2017); Complaint ¶¶ 43–44 (employment through February 16, 2018, with access to SkyVault's swarm and sensor-fusion material); ECIAA § 3.1(b)–(c) (no disclosure or outside use of Confidential Information) and § 5.1 (disclosure of inventions conceived during employment, on or off premises).</w:t>
      </w:r>
    </w:p>
    <w:p>
      <w:pPr>
        <w:keepNext w:val="0"/>
        <w:spacing w:before="0" w:after="40"/>
        <w:ind w:left="1037"/>
      </w:pPr>
      <w:r>
        <w:rPr>
          <w:b/>
          <w:i/>
          <w:sz w:val="20"/>
        </w:rPr>
        <w:t xml:space="preserve">Evidentiary purpose: </w:t>
      </w:r>
      <w:r>
        <w:rPr>
          <w:i/>
          <w:sz w:val="20"/>
        </w:rPr>
        <w:t>A contribution made during employment would implicate both the confidentiality and the invention-disclosure provisions. This is an unpleasant question that must be asked now rather than at a deposition.</w:t>
      </w:r>
    </w:p>
    <w:p>
      <w:pPr>
        <w:keepNext/>
        <w:spacing w:before="180" w:after="40"/>
        <w:ind w:left="605" w:hanging="605"/>
      </w:pPr>
      <w:r>
        <w:rPr>
          <w:b/>
        </w:rPr>
        <w:t xml:space="preserve">H-40  </w:t>
      </w:r>
      <w:r>
        <w:t>Take the three cited academic works in turn — Vasquez (2016), Nakamura and Okonkwo (2015), and Ferreira (2016): when did you read each, what did you take from it, and did implementation proceed from the paper itself or from someone's code?</w:t>
      </w:r>
    </w:p>
    <w:p>
      <w:pPr>
        <w:keepNext/>
        <w:spacing w:before="0" w:after="40"/>
        <w:ind w:left="1037"/>
      </w:pPr>
      <w:r>
        <w:rPr>
          <w:b/>
          <w:i/>
          <w:sz w:val="20"/>
        </w:rPr>
        <w:t xml:space="preserve">Source: </w:t>
      </w:r>
      <w:r>
        <w:rPr>
          <w:i/>
          <w:sz w:val="20"/>
        </w:rPr>
        <w:t>White paper § 2 and § 3.1 describe Vasquez as establishing the LiDAR/stereo/IMU extended-Kalman-filter framework and § 3.2 states that PathForge's fusion methodology “directly implements the framework described by Vasquez (2016)”; § 3.3 compares PathForge's results against Vasquez's reported 47 ms and 15 cm; § 5.2 attributes the swarm design to distributed-systems and MANET literature citing Ferreira et al. (2016); References 1, 3 and 4 give full citations (IEEE Transactions on Robotics, Vol. 32, No. 5, pp. 1142–1158, October 2016; Journal of Autonomous Robotics, Vol. 14, No. 3, pp. 287–305, 2015; and ICRA 2016, pp. 4421–4428).</w:t>
      </w:r>
    </w:p>
    <w:p>
      <w:pPr>
        <w:keepNext w:val="0"/>
        <w:spacing w:before="0" w:after="40"/>
        <w:ind w:left="1037"/>
      </w:pPr>
      <w:r>
        <w:rPr>
          <w:b/>
          <w:i/>
          <w:sz w:val="20"/>
        </w:rPr>
        <w:t xml:space="preserve">Evidentiary purpose: </w:t>
      </w:r>
      <w:r>
        <w:rPr>
          <w:i/>
          <w:sz w:val="20"/>
        </w:rPr>
        <w:t>Published prior art is obtainable without discovery and supports both a public-availability position and a technical account of where the architecture came from. The phrase “directly implements,” which the author chose, needs to be explained by him in operational terms.</w:t>
      </w:r>
    </w:p>
    <w:p>
      <w:pPr>
        <w:keepNext/>
        <w:spacing w:before="180" w:after="40"/>
        <w:ind w:left="605" w:hanging="605"/>
      </w:pPr>
      <w:r>
        <w:rPr>
          <w:b/>
        </w:rPr>
        <w:t xml:space="preserve">H-41  </w:t>
      </w:r>
      <w:r>
        <w:t>What other public sources — repositories, datasets, standards, reference designs, commercial SDKs — were consulted, and which were considered and deliberately not used?</w:t>
      </w:r>
    </w:p>
    <w:p>
      <w:pPr>
        <w:keepNext/>
        <w:spacing w:before="0" w:after="40"/>
        <w:ind w:left="1037"/>
      </w:pPr>
      <w:r>
        <w:rPr>
          <w:b/>
          <w:i/>
          <w:sz w:val="20"/>
        </w:rPr>
        <w:t xml:space="preserve">Source: </w:t>
      </w:r>
      <w:r>
        <w:rPr>
          <w:i/>
          <w:sz w:val="20"/>
        </w:rPr>
        <w:t>White paper § 2 (“a rich body of academic research and early open-source implementations” and “a thorough review of the published literature”), § 7.2 (“builds upon publicly available academic research and open-source implementations that are widely known in the autonomous systems community”) and § 5.2 (MANET literature generally).</w:t>
      </w:r>
    </w:p>
    <w:p>
      <w:pPr>
        <w:keepNext w:val="0"/>
        <w:spacing w:before="0" w:after="40"/>
        <w:ind w:left="1037"/>
      </w:pPr>
      <w:r>
        <w:rPr>
          <w:b/>
          <w:i/>
          <w:sz w:val="20"/>
        </w:rPr>
        <w:t xml:space="preserve">Evidentiary purpose: </w:t>
      </w:r>
      <w:r>
        <w:rPr>
          <w:i/>
          <w:sz w:val="20"/>
        </w:rPr>
        <w:t>The rejected-alternatives trail is undervalued and highly probative: a documented decision not to use a source demonstrates that sources were being evaluated deliberately, which is the practical signature of independent development.</w:t>
      </w:r>
    </w:p>
    <w:p>
      <w:pPr>
        <w:pStyle w:val="Heading2"/>
      </w:pPr>
      <w:r>
        <w:t>F.  Lead Family 6 — The Pre-Suit Correspondence Chain</w:t>
      </w:r>
    </w:p>
    <w:p>
      <w:pPr>
        <w:keepNext/>
        <w:spacing w:before="180" w:after="40"/>
        <w:ind w:left="605" w:hanging="605"/>
      </w:pPr>
      <w:r>
        <w:rPr>
          <w:b/>
        </w:rPr>
        <w:t xml:space="preserve">H-42  </w:t>
      </w:r>
      <w:r>
        <w:t>When did you first learn of SkyVault's March 12, 2024 letter, from whom, and what did you do next?</w:t>
      </w:r>
    </w:p>
    <w:p>
      <w:pPr>
        <w:keepNext/>
        <w:spacing w:before="0" w:after="40"/>
        <w:ind w:left="1037"/>
      </w:pPr>
      <w:r>
        <w:rPr>
          <w:b/>
          <w:i/>
          <w:sz w:val="20"/>
        </w:rPr>
        <w:t xml:space="preserve">Source: </w:t>
      </w:r>
      <w:r>
        <w:rPr>
          <w:i/>
          <w:sz w:val="20"/>
        </w:rPr>
        <w:t>Complaint ¶ 61 records the letter's date, that it was sent by Callister, Voss &amp; Greenbaum LLP and addressed to CEO Priya Chandrasekaran at Meridian's Austin headquarters, that it identified the three patents-in-suit and described the trade-secret and copyright claims, and that it made three demands (cessation; $15 million in licensing fees; a full forensic audit of source code repositories); the April 5, 2024 Brackwell &amp; Haines letter acknowledges receipt of that correspondence. The letter itself is not in our file and nothing beyond these two records may be attributed to it.</w:t>
      </w:r>
    </w:p>
    <w:p>
      <w:pPr>
        <w:keepNext w:val="0"/>
        <w:spacing w:before="0" w:after="40"/>
        <w:ind w:left="1037"/>
      </w:pPr>
      <w:r>
        <w:rPr>
          <w:b/>
          <w:i/>
          <w:sz w:val="20"/>
        </w:rPr>
        <w:t xml:space="preserve">Evidentiary purpose: </w:t>
      </w:r>
      <w:r>
        <w:rPr>
          <w:i/>
          <w:sz w:val="20"/>
        </w:rPr>
        <w:t>Fixes the notice date on which the willfulness allegations of ¶¶ 63, 70, 78 and 86 depend. The date of receipt and the internal routing are ordinary facts, not privileged communications.</w:t>
      </w:r>
    </w:p>
    <w:p>
      <w:pPr>
        <w:keepNext/>
        <w:spacing w:before="180" w:after="40"/>
        <w:ind w:left="605" w:hanging="605"/>
      </w:pPr>
      <w:r>
        <w:rPr>
          <w:b/>
        </w:rPr>
        <w:t xml:space="preserve">H-43  </w:t>
      </w:r>
      <w:r>
        <w:t>Before March 2024, had you or anyone at Meridian heard from SkyVault, Dr. Mehta, or their counsel about PathForge — in any form, including informally at conferences or through customers or investors?</w:t>
      </w:r>
    </w:p>
    <w:p>
      <w:pPr>
        <w:keepNext/>
        <w:spacing w:before="0" w:after="40"/>
        <w:ind w:left="1037"/>
      </w:pPr>
      <w:r>
        <w:rPr>
          <w:b/>
          <w:i/>
          <w:sz w:val="20"/>
        </w:rPr>
        <w:t xml:space="preserve">Source: </w:t>
      </w:r>
      <w:r>
        <w:rPr>
          <w:i/>
          <w:sz w:val="20"/>
        </w:rPr>
        <w:t>Exhibit F Row # 45 records that Hargrove Forensics Group was engaged on 02/14/2018 “per counsel authorization” and Row # 50 records on 02/16/2018 that the matter was “referred to legal counsel at Callister, Voss &amp; Greenbaum LLP”; the Report Metadata, B5–B6, show the forensic report was prepared for that firm and dated March 5, 2018; Complaint ¶¶ 97 and 109 nonetheless allege that SkyVault first discovered the misappropriation on reviewing the July 2022 white paper.</w:t>
      </w:r>
    </w:p>
    <w:p>
      <w:pPr>
        <w:keepNext w:val="0"/>
        <w:spacing w:before="0" w:after="40"/>
        <w:ind w:left="1037"/>
      </w:pPr>
      <w:r>
        <w:rPr>
          <w:b/>
          <w:i/>
          <w:sz w:val="20"/>
        </w:rPr>
        <w:t xml:space="preserve">Evidentiary purpose: </w:t>
      </w:r>
      <w:r>
        <w:rPr>
          <w:i/>
          <w:sz w:val="20"/>
        </w:rPr>
        <w:t>Exhibit F establishes that SkyVault knew of the transfer, engaged a forensic examiner and referred the matter to litigation counsel in February and March 2018 — more than six years before suit and more than four before the publication date SkyVault pleads as its discovery. Any contact during that period is a fact of first-order importance, and its complete absence is equally worth establishing.</w:t>
      </w:r>
    </w:p>
    <w:p>
      <w:pPr>
        <w:keepNext/>
        <w:spacing w:before="180" w:after="40"/>
        <w:ind w:left="605" w:hanging="605"/>
      </w:pPr>
      <w:r>
        <w:rPr>
          <w:b/>
        </w:rPr>
        <w:t xml:space="preserve">H-44  </w:t>
      </w:r>
      <w:r>
        <w:t>What factual information did you personally supply in connection with Meridian's April 2024 response — identifying the facts and the documents, not any advice you received or any request counsel made of you?</w:t>
      </w:r>
    </w:p>
    <w:p>
      <w:pPr>
        <w:keepNext/>
        <w:spacing w:before="0" w:after="40"/>
        <w:ind w:left="1037"/>
      </w:pPr>
      <w:r>
        <w:rPr>
          <w:b/>
          <w:i/>
          <w:sz w:val="20"/>
        </w:rPr>
        <w:t xml:space="preserve">Source: </w:t>
      </w:r>
      <w:r>
        <w:rPr>
          <w:i/>
          <w:sz w:val="20"/>
        </w:rPr>
        <w:t>The April 5, 2024 letter states that “Meridian independently developed its PathForge platform through the efforts of its engineering teams,” that it “maintains robust internal compliance processes,” and that it is “aware of none” in the way of substantive support for the infringement assertions; the letter is cc'd to Jordan Kessler, VP of Legal.</w:t>
      </w:r>
    </w:p>
    <w:p>
      <w:pPr>
        <w:keepNext w:val="0"/>
        <w:spacing w:before="0" w:after="40"/>
        <w:ind w:left="1037"/>
      </w:pPr>
      <w:r>
        <w:rPr>
          <w:b/>
          <w:i/>
          <w:sz w:val="20"/>
        </w:rPr>
        <w:t xml:space="preserve">Evidentiary purpose: </w:t>
      </w:r>
      <w:r>
        <w:rPr>
          <w:i/>
          <w:sz w:val="20"/>
        </w:rPr>
        <w:t>The underlying facts and documents a witness supplied are discoverable; the communications with counsel generally are not. The question is phrased to draw that line in the room. Interrupt and log if the witness begins describing counsel's advice or questions.</w:t>
      </w:r>
    </w:p>
    <w:p>
      <w:pPr>
        <w:keepNext/>
        <w:spacing w:before="180" w:after="40"/>
        <w:ind w:left="605" w:hanging="605"/>
      </w:pPr>
      <w:r>
        <w:rPr>
          <w:b/>
        </w:rPr>
        <w:t xml:space="preserve">H-45  </w:t>
      </w:r>
      <w:r>
        <w:t>Since March 2024, have you had any contact with SkyVault personnel, or received any direct approach from SkyVault or its counsel?</w:t>
      </w:r>
    </w:p>
    <w:p>
      <w:pPr>
        <w:keepNext/>
        <w:spacing w:before="0" w:after="40"/>
        <w:ind w:left="1037"/>
      </w:pPr>
      <w:r>
        <w:rPr>
          <w:b/>
          <w:i/>
          <w:sz w:val="20"/>
        </w:rPr>
        <w:t xml:space="preserve">Source: </w:t>
      </w:r>
      <w:r>
        <w:rPr>
          <w:i/>
          <w:sz w:val="20"/>
        </w:rPr>
        <w:t>The April 5, 2024 letter requests that “SkyVault and its counsel … refrain from contacting Meridian's officers and employees directly regarding these allegations” and directs all future communications to Brackwell &amp; Haines LLP.</w:t>
      </w:r>
    </w:p>
    <w:p>
      <w:pPr>
        <w:keepNext w:val="0"/>
        <w:spacing w:before="0" w:after="40"/>
        <w:ind w:left="1037"/>
      </w:pPr>
      <w:r>
        <w:rPr>
          <w:b/>
          <w:i/>
          <w:sz w:val="20"/>
        </w:rPr>
        <w:t xml:space="preserve">Evidentiary purpose: </w:t>
      </w:r>
      <w:r>
        <w:rPr>
          <w:i/>
          <w:sz w:val="20"/>
        </w:rPr>
        <w:t>Tests compliance with the channel Meridian established, and surfaces any communication that would need to be preserved, disclosed, or raised with opposing counsel.</w:t>
      </w:r>
    </w:p>
    <w:p>
      <w:pPr>
        <w:pStyle w:val="Heading1"/>
      </w:pPr>
      <w:r>
        <w:t>V.  Witness Category 2 — The Meridian Technical Team</w:t>
      </w:r>
    </w:p>
    <w:p>
      <w:pPr>
        <w:spacing w:before="0" w:after="120"/>
        <w:ind w:left="0" w:firstLine="0"/>
      </w:pPr>
      <w:r>
        <w:rPr>
          <w:b w:val="0"/>
          <w:i w:val="0"/>
          <w:sz w:val="22"/>
        </w:rPr>
        <w:t>The technical team is the records-bearing witness group in this matter: unlike Dr. Holt, whose value is narrative, these witnesses can tell us what systems exist, what those systems retain, and what the surviving artifacts actually show about how each PathForge module was built. Their interviews should be conducted in small, subject-matter-specific sessions rather than as a single group meeting, and should be paired with live access to repositories, ticketing systems and test archives wherever possible. This group also supplies the internal counterpart to Exhibit F — the engineers and IT personnel who can say what a log record of that kind does and does not establish.</w:t>
      </w:r>
    </w:p>
    <w:p>
      <w:pPr>
        <w:pStyle w:val="Heading2"/>
      </w:pPr>
      <w:r>
        <w:t>A.  Module Architecture, Contributors and Development Record</w:t>
      </w:r>
    </w:p>
    <w:p>
      <w:pPr>
        <w:keepNext/>
        <w:spacing w:before="180" w:after="40"/>
        <w:ind w:left="605" w:hanging="605"/>
      </w:pPr>
      <w:r>
        <w:rPr>
          <w:b/>
        </w:rPr>
        <w:t xml:space="preserve">T-1  </w:t>
      </w:r>
      <w:r>
        <w:t>For each of the four modules identified in the white paper's modularity section, identify the technical owner over time and the engineers who wrote the principal components in each period.</w:t>
      </w:r>
    </w:p>
    <w:p>
      <w:pPr>
        <w:keepNext/>
        <w:spacing w:before="0" w:after="40"/>
        <w:ind w:left="1037"/>
      </w:pPr>
      <w:r>
        <w:rPr>
          <w:b/>
          <w:i/>
          <w:sz w:val="20"/>
        </w:rPr>
        <w:t xml:space="preserve">Source: </w:t>
      </w:r>
      <w:r>
        <w:rPr>
          <w:i/>
          <w:sz w:val="20"/>
        </w:rPr>
        <w:t>White paper § 7.1 (Navigation Module, Swarm Coordination Module, Analytics Dashboard, Hardware Integration Layer, described as “independently developed, independently deployable, and independently priced”) and § 7.2 (the phased timeline); Complaint ¶¶ 66, 76 and 84 accuse different modules under different patents.</w:t>
      </w:r>
    </w:p>
    <w:p>
      <w:pPr>
        <w:keepNext w:val="0"/>
        <w:spacing w:before="0" w:after="40"/>
        <w:ind w:left="1037"/>
      </w:pPr>
      <w:r>
        <w:rPr>
          <w:b/>
          <w:i/>
          <w:sz w:val="20"/>
        </w:rPr>
        <w:t xml:space="preserve">Evidentiary purpose: </w:t>
      </w:r>
      <w:r>
        <w:rPr>
          <w:i/>
          <w:sz w:val="20"/>
        </w:rPr>
        <w:t>Builds the authorship map that every provenance question depends on, and identifies the additional custodians whose files must be preserved and collected.</w:t>
      </w:r>
    </w:p>
    <w:p>
      <w:pPr>
        <w:keepNext/>
        <w:spacing w:before="180" w:after="40"/>
        <w:ind w:left="605" w:hanging="605"/>
      </w:pPr>
      <w:r>
        <w:rPr>
          <w:b/>
        </w:rPr>
        <w:t xml:space="preserve">T-2  </w:t>
      </w:r>
      <w:r>
        <w:t>For each module, what design record survives — design documents, architecture decision records, review notes, tickets, sprint artifacts — and what is the earliest surviving item?</w:t>
      </w:r>
    </w:p>
    <w:p>
      <w:pPr>
        <w:keepNext/>
        <w:spacing w:before="0" w:after="40"/>
        <w:ind w:left="1037"/>
      </w:pPr>
      <w:r>
        <w:rPr>
          <w:b/>
          <w:i/>
          <w:sz w:val="20"/>
        </w:rPr>
        <w:t xml:space="preserve">Source: </w:t>
      </w:r>
      <w:r>
        <w:rPr>
          <w:i/>
          <w:sz w:val="20"/>
        </w:rPr>
        <w:t>White paper § 7.2 (fusion designed and prototyped Q3 2018–Q4 2019; GPS-denied developed Q1 2019–Q3 2020; swarm designed and tested Q2 2019–Q1 2021) states what was done but produces no underlying record; Complaint ¶ 54 asserts that the development timeline was too rapid to be independent.</w:t>
      </w:r>
    </w:p>
    <w:p>
      <w:pPr>
        <w:keepNext w:val="0"/>
        <w:spacing w:before="0" w:after="40"/>
        <w:ind w:left="1037"/>
      </w:pPr>
      <w:r>
        <w:rPr>
          <w:b/>
          <w:i/>
          <w:sz w:val="20"/>
        </w:rPr>
        <w:t xml:space="preserve">Evidentiary purpose: </w:t>
      </w:r>
      <w:r>
        <w:rPr>
          <w:i/>
          <w:sz w:val="20"/>
        </w:rPr>
        <w:t>A contemporaneous design record answering the rapidity allegation is more persuasive than any witness statement. The earliest surviving artifact per module also defines the outer limit of what we can prove.</w:t>
      </w:r>
    </w:p>
    <w:p>
      <w:pPr>
        <w:keepNext/>
        <w:spacing w:before="180" w:after="40"/>
        <w:ind w:left="605" w:hanging="605"/>
      </w:pPr>
      <w:r>
        <w:rPr>
          <w:b/>
        </w:rPr>
        <w:t xml:space="preserve">T-3  </w:t>
      </w:r>
      <w:r>
        <w:t>Are the four modules genuinely separable in the build system — can each be built, licensed and shipped independently, and what in the repository and release tooling demonstrates that?</w:t>
      </w:r>
    </w:p>
    <w:p>
      <w:pPr>
        <w:keepNext/>
        <w:spacing w:before="0" w:after="40"/>
        <w:ind w:left="1037"/>
      </w:pPr>
      <w:r>
        <w:rPr>
          <w:b/>
          <w:i/>
          <w:sz w:val="20"/>
        </w:rPr>
        <w:t xml:space="preserve">Source: </w:t>
      </w:r>
      <w:r>
        <w:rPr>
          <w:i/>
          <w:sz w:val="20"/>
        </w:rPr>
        <w:t>White paper § 7.1 (modules “can be licensed and deployed independently or together”; customers may license only what they need) and § 5.4 (the swarm module described as “one of multiple distinct technology components” each “developed as an independent engineering effort”); Complaint ¶ 146 asserts that the entirety of PathForge revenue is attributable to the alleged misappropriation.</w:t>
      </w:r>
    </w:p>
    <w:p>
      <w:pPr>
        <w:keepNext w:val="0"/>
        <w:spacing w:before="0" w:after="40"/>
        <w:ind w:left="1037"/>
      </w:pPr>
      <w:r>
        <w:rPr>
          <w:b/>
          <w:i/>
          <w:sz w:val="20"/>
        </w:rPr>
        <w:t xml:space="preserve">Evidentiary purpose: </w:t>
      </w:r>
      <w:r>
        <w:rPr>
          <w:i/>
          <w:sz w:val="20"/>
        </w:rPr>
        <w:t>Module separability is the factual predicate for any apportionment position and for confining module-specific allegations to the modules actually accused. The claim in the white paper must be corroborated from the build system, not accepted from marketing copy.</w:t>
      </w:r>
    </w:p>
    <w:p>
      <w:pPr>
        <w:pStyle w:val="Heading2"/>
      </w:pPr>
      <w:r>
        <w:t>B.  Repositories, Code Provenance and Dependencies</w:t>
      </w:r>
    </w:p>
    <w:p>
      <w:pPr>
        <w:keepNext/>
        <w:spacing w:before="180" w:after="40"/>
        <w:ind w:left="605" w:hanging="605"/>
      </w:pPr>
      <w:r>
        <w:rPr>
          <w:b/>
        </w:rPr>
        <w:t xml:space="preserve">T-4  </w:t>
      </w:r>
      <w:r>
        <w:t>What version-control systems has PathForge used since 2018, when was each adopted, and has history ever been imported, rewritten, squashed or migrated?</w:t>
      </w:r>
    </w:p>
    <w:p>
      <w:pPr>
        <w:keepNext/>
        <w:spacing w:before="0" w:after="40"/>
        <w:ind w:left="1037"/>
      </w:pPr>
      <w:r>
        <w:rPr>
          <w:b/>
          <w:i/>
          <w:sz w:val="20"/>
        </w:rPr>
        <w:t xml:space="preserve">Source: </w:t>
      </w:r>
      <w:r>
        <w:rPr>
          <w:i/>
          <w:sz w:val="20"/>
        </w:rPr>
        <w:t>White paper § 7.2 (development beginning April 2018); Complaint ¶ 119 alleges similarities in “structure, sequence, and organization” that “cannot be explained by independent creation”; the April 5, 2024 letter, item 3, declined a pre-suit source-code audit outside formal litigation.</w:t>
      </w:r>
    </w:p>
    <w:p>
      <w:pPr>
        <w:keepNext w:val="0"/>
        <w:spacing w:before="0" w:after="40"/>
        <w:ind w:left="1037"/>
      </w:pPr>
      <w:r>
        <w:rPr>
          <w:b/>
          <w:i/>
          <w:sz w:val="20"/>
        </w:rPr>
        <w:t xml:space="preserve">Evidentiary purpose: </w:t>
      </w:r>
      <w:r>
        <w:rPr>
          <w:i/>
          <w:sz w:val="20"/>
        </w:rPr>
        <w:t>Determines whether an incremental development history exists to rebut ¶ 119. Any migration or history rewrite must be identified and explained by us proactively, because it will otherwise be characterized as spoliation.</w:t>
      </w:r>
    </w:p>
    <w:p>
      <w:pPr>
        <w:keepNext/>
        <w:spacing w:before="180" w:after="40"/>
        <w:ind w:left="605" w:hanging="605"/>
      </w:pPr>
      <w:r>
        <w:rPr>
          <w:b/>
        </w:rPr>
        <w:t xml:space="preserve">T-5  </w:t>
      </w:r>
      <w:r>
        <w:t>What are the earliest surviving commits in each module — date, author, and size — and is there any large initial import of unattributed code?</w:t>
      </w:r>
    </w:p>
    <w:p>
      <w:pPr>
        <w:keepNext/>
        <w:spacing w:before="0" w:after="40"/>
        <w:ind w:left="1037"/>
      </w:pPr>
      <w:r>
        <w:rPr>
          <w:b/>
          <w:i/>
          <w:sz w:val="20"/>
        </w:rPr>
        <w:t xml:space="preserve">Source: </w:t>
      </w:r>
      <w:r>
        <w:rPr>
          <w:i/>
          <w:sz w:val="20"/>
        </w:rPr>
        <w:t>White paper § 7.2 places the start of PathForge development in April 2018 and states that “all PathForge technology was developed independently by the Meridian engineering team”; Complaint ¶¶ 54 and 120 allege that the platform was built from misappropriated material.</w:t>
      </w:r>
    </w:p>
    <w:p>
      <w:pPr>
        <w:keepNext w:val="0"/>
        <w:spacing w:before="0" w:after="40"/>
        <w:ind w:left="1037"/>
      </w:pPr>
      <w:r>
        <w:rPr>
          <w:b/>
          <w:i/>
          <w:sz w:val="20"/>
        </w:rPr>
        <w:t xml:space="preserve">Evidentiary purpose: </w:t>
      </w:r>
      <w:r>
        <w:rPr>
          <w:i/>
          <w:sz w:val="20"/>
        </w:rPr>
        <w:t>A large, unattributed initial import is the clearest technical signature of transferred code; an incremental early history is correspondingly strong evidence of independent development. Either way we must know before anyone else looks.</w:t>
      </w:r>
    </w:p>
    <w:p>
      <w:pPr>
        <w:keepNext/>
        <w:spacing w:before="180" w:after="40"/>
        <w:ind w:left="605" w:hanging="605"/>
      </w:pPr>
      <w:r>
        <w:rPr>
          <w:b/>
        </w:rPr>
        <w:t xml:space="preserve">T-6  </w:t>
      </w:r>
      <w:r>
        <w:t>Do dependency manifests and software bills of materials exist for each release, and does DroneNav — or any fork or vendored copy of it — appear in any of them, currently or historically?</w:t>
      </w:r>
    </w:p>
    <w:p>
      <w:pPr>
        <w:keepNext/>
        <w:spacing w:before="0" w:after="40"/>
        <w:ind w:left="1037"/>
      </w:pPr>
      <w:r>
        <w:rPr>
          <w:b/>
          <w:i/>
          <w:sz w:val="20"/>
        </w:rPr>
        <w:t xml:space="preserve">Source: </w:t>
      </w:r>
      <w:r>
        <w:rPr>
          <w:i/>
          <w:sz w:val="20"/>
        </w:rPr>
        <w:t>White paper § 4.2 and § 7.2 (DroneNav described as an informing reference for the GPS-denied module) and Reference 2 (github.com/dronenav/dronenav, first committed August 15, 2017); the April 5, 2024 letter's compliance-process representation.</w:t>
      </w:r>
    </w:p>
    <w:p>
      <w:pPr>
        <w:keepNext w:val="0"/>
        <w:spacing w:before="0" w:after="40"/>
        <w:ind w:left="1037"/>
      </w:pPr>
      <w:r>
        <w:rPr>
          <w:b/>
          <w:i/>
          <w:sz w:val="20"/>
        </w:rPr>
        <w:t xml:space="preserve">Evidentiary purpose: </w:t>
      </w:r>
      <w:r>
        <w:rPr>
          <w:i/>
          <w:sz w:val="20"/>
        </w:rPr>
        <w:t>Converts the white paper's narrative statement about DroneNav into a verifiable fact, and tests whether conceptual influence ever became a code dependency. Historical manifests matter as much as current ones.</w:t>
      </w:r>
    </w:p>
    <w:p>
      <w:pPr>
        <w:keepNext/>
        <w:spacing w:before="180" w:after="40"/>
        <w:ind w:left="605" w:hanging="605"/>
      </w:pPr>
      <w:r>
        <w:rPr>
          <w:b/>
        </w:rPr>
        <w:t xml:space="preserve">T-7  </w:t>
      </w:r>
      <w:r>
        <w:t>Do files named navfusion.c, pathoptengine.h or swarm_proto.cpp, or any files bearing SkyVault or AeroCore identifiers, headers, comments or author strings, exist anywhere in the PathForge tree or its history?</w:t>
      </w:r>
    </w:p>
    <w:p>
      <w:pPr>
        <w:keepNext/>
        <w:spacing w:before="0" w:after="40"/>
        <w:ind w:left="1037"/>
      </w:pPr>
      <w:r>
        <w:rPr>
          <w:b/>
          <w:i/>
          <w:sz w:val="20"/>
        </w:rPr>
        <w:t xml:space="preserve">Source: </w:t>
      </w:r>
      <w:r>
        <w:rPr>
          <w:i/>
          <w:sz w:val="20"/>
        </w:rPr>
        <w:t>Complaint ¶¶ 33, 116 and 118 name those three AeroCore files; Exhibit F's Forensic Log contains no .c, .h or .cpp artifact, and its bulk events reference Confluence wiki spaces (/SkyVault/Engineering/SensorFusion/, /FlightPath/, /SwarmProtocol/, /HardwareIntegration/ and /Business/CustomerData/) rather than any source-code repository.</w:t>
      </w:r>
    </w:p>
    <w:p>
      <w:pPr>
        <w:keepNext w:val="0"/>
        <w:spacing w:before="0" w:after="40"/>
        <w:ind w:left="1037"/>
      </w:pPr>
      <w:r>
        <w:rPr>
          <w:b/>
          <w:i/>
          <w:sz w:val="20"/>
        </w:rPr>
        <w:t xml:space="preserve">Evidentiary purpose: </w:t>
      </w:r>
      <w:r>
        <w:rPr>
          <w:i/>
          <w:sz w:val="20"/>
        </w:rPr>
        <w:t>A targeted, defensible internal search now — conducted under privilege and properly documented — is far preferable to a first search conducted under a production order.</w:t>
      </w:r>
    </w:p>
    <w:p>
      <w:pPr>
        <w:keepNext/>
        <w:spacing w:before="180" w:after="40"/>
        <w:ind w:left="605" w:hanging="605"/>
      </w:pPr>
      <w:r>
        <w:rPr>
          <w:b/>
        </w:rPr>
        <w:t xml:space="preserve">T-8  </w:t>
      </w:r>
      <w:r>
        <w:t>What code-provenance, license-scanning or similarity tooling has Meridian run, at what gates, and are the historical reports retained?</w:t>
      </w:r>
    </w:p>
    <w:p>
      <w:pPr>
        <w:keepNext/>
        <w:spacing w:before="0" w:after="40"/>
        <w:ind w:left="1037"/>
      </w:pPr>
      <w:r>
        <w:rPr>
          <w:b/>
          <w:i/>
          <w:sz w:val="20"/>
        </w:rPr>
        <w:t xml:space="preserve">Source: </w:t>
      </w:r>
      <w:r>
        <w:rPr>
          <w:i/>
          <w:sz w:val="20"/>
        </w:rPr>
        <w:t>The April 5, 2024 letter asserts robust internal compliance processes safeguarding against unauthorized use of third-party intellectual property; white paper § 7.2 asserts independent development.</w:t>
      </w:r>
    </w:p>
    <w:p>
      <w:pPr>
        <w:keepNext w:val="0"/>
        <w:spacing w:before="0" w:after="40"/>
        <w:ind w:left="1037"/>
      </w:pPr>
      <w:r>
        <w:rPr>
          <w:b/>
          <w:i/>
          <w:sz w:val="20"/>
        </w:rPr>
        <w:t xml:space="preserve">Evidentiary purpose: </w:t>
      </w:r>
      <w:r>
        <w:rPr>
          <w:i/>
          <w:sz w:val="20"/>
        </w:rPr>
        <w:t>Existing scan reports are contemporaneous business records rather than litigation work product, and they either substantiate the representation already made or reveal a gap that must be addressed now.</w:t>
      </w:r>
    </w:p>
    <w:p>
      <w:pPr>
        <w:pStyle w:val="Heading2"/>
      </w:pPr>
      <w:r>
        <w:t>C.  Testing, Release and Documentation Records</w:t>
      </w:r>
    </w:p>
    <w:p>
      <w:pPr>
        <w:keepNext/>
        <w:spacing w:before="180" w:after="40"/>
        <w:ind w:left="605" w:hanging="605"/>
      </w:pPr>
      <w:r>
        <w:rPr>
          <w:b/>
        </w:rPr>
        <w:t xml:space="preserve">T-9  </w:t>
      </w:r>
      <w:r>
        <w:t>What raw test data, flight logs and facility records support the three benchmark tables in the white paper, and where are they stored?</w:t>
      </w:r>
    </w:p>
    <w:p>
      <w:pPr>
        <w:keepNext/>
        <w:spacing w:before="0" w:after="40"/>
        <w:ind w:left="1037"/>
      </w:pPr>
      <w:r>
        <w:rPr>
          <w:b/>
          <w:i/>
          <w:sz w:val="20"/>
        </w:rPr>
        <w:t xml:space="preserve">Source: </w:t>
      </w:r>
      <w:r>
        <w:rPr>
          <w:i/>
          <w:sz w:val="20"/>
        </w:rPr>
        <w:t>White paper § 3.3 and Table 0, § 4.4 and Table 1 (including the 10,000 sq. ft. warehouse, 1.2 km utility tunnel and simulated urban canyon with 8–15 m building separations) and § 5.4 and Table 2 (24 drones, 14 ms, zero collisions across 1,200+ hours).</w:t>
      </w:r>
    </w:p>
    <w:p>
      <w:pPr>
        <w:keepNext w:val="0"/>
        <w:spacing w:before="0" w:after="40"/>
        <w:ind w:left="1037"/>
      </w:pPr>
      <w:r>
        <w:rPr>
          <w:b/>
          <w:i/>
          <w:sz w:val="20"/>
        </w:rPr>
        <w:t xml:space="preserve">Evidentiary purpose: </w:t>
      </w:r>
      <w:r>
        <w:rPr>
          <w:i/>
          <w:sz w:val="20"/>
        </w:rPr>
        <w:t>Iterative test data spanning years is difficult to fabricate and directly answers the rapid-development inference in ¶ 54. It also allows us to confirm whether published figures were measured.</w:t>
      </w:r>
    </w:p>
    <w:p>
      <w:pPr>
        <w:keepNext/>
        <w:spacing w:before="180" w:after="40"/>
        <w:ind w:left="605" w:hanging="605"/>
      </w:pPr>
      <w:r>
        <w:rPr>
          <w:b/>
        </w:rPr>
        <w:t xml:space="preserve">T-10  </w:t>
      </w:r>
      <w:r>
        <w:t>What release artifacts exist for the September 2020 v1.0 launch, the Q1 2021 swarm production deployment and the Q3 2021 Analytics Dashboard release — and can a historical build be reconstructed today?</w:t>
      </w:r>
    </w:p>
    <w:p>
      <w:pPr>
        <w:keepNext/>
        <w:spacing w:before="0" w:after="40"/>
        <w:ind w:left="1037"/>
      </w:pPr>
      <w:r>
        <w:rPr>
          <w:b/>
          <w:i/>
          <w:sz w:val="20"/>
        </w:rPr>
        <w:t xml:space="preserve">Source: </w:t>
      </w:r>
      <w:r>
        <w:rPr>
          <w:i/>
          <w:sz w:val="20"/>
        </w:rPr>
        <w:t>White paper § 7.2 (the three release dates and the statement that v1.0 initially comprised the Navigation Module and Hardware Integration Layer) and § 1 (commercial launch September 2020, 60+ customers); Complaint ¶¶ 56 and 59 date the launch to September 2020 and allege in excess of $50 million in cumulative revenue since.</w:t>
      </w:r>
    </w:p>
    <w:p>
      <w:pPr>
        <w:keepNext w:val="0"/>
        <w:spacing w:before="0" w:after="40"/>
        <w:ind w:left="1037"/>
      </w:pPr>
      <w:r>
        <w:rPr>
          <w:b/>
          <w:i/>
          <w:sz w:val="20"/>
        </w:rPr>
        <w:t xml:space="preserve">Evidentiary purpose: </w:t>
      </w:r>
      <w:r>
        <w:rPr>
          <w:i/>
          <w:sz w:val="20"/>
        </w:rPr>
        <w:t>Reproducible historical builds fix what the accused product actually was at each relevant date, rather than what a marketing document said it was.</w:t>
      </w:r>
    </w:p>
    <w:p>
      <w:pPr>
        <w:keepNext/>
        <w:spacing w:before="180" w:after="40"/>
        <w:ind w:left="605" w:hanging="605"/>
      </w:pPr>
      <w:r>
        <w:rPr>
          <w:b/>
        </w:rPr>
        <w:t xml:space="preserve">T-11  </w:t>
      </w:r>
      <w:r>
        <w:t>Who assembled the technical content of white-paper Sections 3 through 5, who supplied the comparison figures attributed to Vasquez, and who created the circulating excerpt?</w:t>
      </w:r>
    </w:p>
    <w:p>
      <w:pPr>
        <w:keepNext/>
        <w:spacing w:before="0" w:after="40"/>
        <w:ind w:left="1037"/>
      </w:pPr>
      <w:r>
        <w:rPr>
          <w:b/>
          <w:i/>
          <w:sz w:val="20"/>
        </w:rPr>
        <w:t xml:space="preserve">Source: </w:t>
      </w:r>
      <w:r>
        <w:rPr>
          <w:i/>
          <w:sz w:val="20"/>
        </w:rPr>
        <w:t>White paper § 3.3 (comparing PathForge against Vasquez's reported 47 ms and 15 cm and claiming 19% and 47% improvements), the cover byline naming the “PathForge Engineering Team,” and the excerpt front-matter describing a 42-page original while the excerpt itself also contains Section 8 and the reference list; Complaint ¶ 57 attributes the paper to Holt and “the Meridian engineering team.”</w:t>
      </w:r>
    </w:p>
    <w:p>
      <w:pPr>
        <w:keepNext w:val="0"/>
        <w:spacing w:before="0" w:after="40"/>
        <w:ind w:left="1037"/>
      </w:pPr>
      <w:r>
        <w:rPr>
          <w:b/>
          <w:i/>
          <w:sz w:val="20"/>
        </w:rPr>
        <w:t xml:space="preserve">Evidentiary purpose: </w:t>
      </w:r>
      <w:r>
        <w:rPr>
          <w:i/>
          <w:sz w:val="20"/>
        </w:rPr>
        <w:t>Establishes which statements are engineering statements and which are marketing statements, and fixes the provenance and completeness of the excerpt on which both sides are currently relying.</w:t>
      </w:r>
    </w:p>
    <w:p>
      <w:pPr>
        <w:keepNext/>
        <w:spacing w:before="180" w:after="40"/>
        <w:ind w:left="605" w:hanging="605"/>
      </w:pPr>
      <w:r>
        <w:rPr>
          <w:b/>
        </w:rPr>
        <w:t xml:space="preserve">T-12  </w:t>
      </w:r>
      <w:r>
        <w:t>Have the component names quoted in SkyVault's claim chart ever been used in Meridian code, APIs, specifications or collateral?</w:t>
      </w:r>
    </w:p>
    <w:p>
      <w:pPr>
        <w:keepNext/>
        <w:spacing w:before="0" w:after="40"/>
        <w:ind w:left="1037"/>
      </w:pPr>
      <w:r>
        <w:rPr>
          <w:b/>
          <w:i/>
          <w:sz w:val="20"/>
        </w:rPr>
        <w:t xml:space="preserve">Source: </w:t>
      </w:r>
      <w:r>
        <w:rPr>
          <w:i/>
          <w:sz w:val="20"/>
        </w:rPr>
        <w:t>The Complaint's '561 claim chart following ¶ 67 quotes a “Sensor Integration Layer,” a “Threat Assessment Module,” a “Dynamic Path Replanner” and a “Flight Controller API,” with a 30 Hz model refresh and a sub-50 ms replanning time, attributed to white-paper §§ 2.1, 3.1, 3.2, 4.1, 4.3 and 5.1; none of those names or figures appears in the excerpt we hold, which instead reports a 38 ms measured detection-to-avoidance latency (Table 0).</w:t>
      </w:r>
    </w:p>
    <w:p>
      <w:pPr>
        <w:keepNext w:val="0"/>
        <w:spacing w:before="0" w:after="40"/>
        <w:ind w:left="1037"/>
      </w:pPr>
      <w:r>
        <w:rPr>
          <w:b/>
          <w:i/>
          <w:sz w:val="20"/>
        </w:rPr>
        <w:t xml:space="preserve">Evidentiary purpose: </w:t>
      </w:r>
      <w:r>
        <w:rPr>
          <w:i/>
          <w:sz w:val="20"/>
        </w:rPr>
        <w:t>A code-and-document search for these four terms will show whether SkyVault quoted a different document, a different version, or inaccurately. This is a discrete, fast, high-value verification task.</w:t>
      </w:r>
    </w:p>
    <w:p>
      <w:pPr>
        <w:pStyle w:val="Heading2"/>
      </w:pPr>
      <w:r>
        <w:t>D.  Internal Controls, Meridian-Side Records and Reading Exhibit F</w:t>
      </w:r>
    </w:p>
    <w:p>
      <w:pPr>
        <w:keepNext/>
        <w:spacing w:before="180" w:after="40"/>
        <w:ind w:left="605" w:hanging="605"/>
      </w:pPr>
      <w:r>
        <w:rPr>
          <w:b/>
        </w:rPr>
        <w:t xml:space="preserve">T-13  </w:t>
      </w:r>
      <w:r>
        <w:t>What does Meridian require of new engineers concerning prior-employer materials, and are signed acknowledgments retained — including for the earliest hires in 2018?</w:t>
      </w:r>
    </w:p>
    <w:p>
      <w:pPr>
        <w:keepNext/>
        <w:spacing w:before="0" w:after="40"/>
        <w:ind w:left="1037"/>
      </w:pPr>
      <w:r>
        <w:rPr>
          <w:b/>
          <w:i/>
          <w:sz w:val="20"/>
        </w:rPr>
        <w:t xml:space="preserve">Source: </w:t>
      </w:r>
      <w:r>
        <w:rPr>
          <w:i/>
          <w:sz w:val="20"/>
        </w:rPr>
        <w:t>The April 5, 2024 letter's compliance-process representation; ECIAA § 7.1 (SkyVault non-solicitation running through February 16, 2019, extending to any person employed by SkyVault within the prior six months); Complaint ¶ 55 (alleging disclosure to Meridian engineers).</w:t>
      </w:r>
    </w:p>
    <w:p>
      <w:pPr>
        <w:keepNext w:val="0"/>
        <w:spacing w:before="0" w:after="40"/>
        <w:ind w:left="1037"/>
      </w:pPr>
      <w:r>
        <w:rPr>
          <w:b/>
          <w:i/>
          <w:sz w:val="20"/>
        </w:rPr>
        <w:t xml:space="preserve">Evidentiary purpose: </w:t>
      </w:r>
      <w:r>
        <w:rPr>
          <w:i/>
          <w:sz w:val="20"/>
        </w:rPr>
        <w:t>Onboarding records are the most direct evidence that the alleged inbound transfer did not occur, and they also identify any SkyVault-originating personnel path before SkyVault finds it.</w:t>
      </w:r>
    </w:p>
    <w:p>
      <w:pPr>
        <w:keepNext/>
        <w:spacing w:before="180" w:after="40"/>
        <w:ind w:left="605" w:hanging="605"/>
      </w:pPr>
      <w:r>
        <w:rPr>
          <w:b/>
        </w:rPr>
        <w:t xml:space="preserve">T-14  </w:t>
      </w:r>
      <w:r>
        <w:t>What endpoint, removable-media and data-loss-prevention controls has Meridian had since 2018, and do the logs survive?</w:t>
      </w:r>
    </w:p>
    <w:p>
      <w:pPr>
        <w:keepNext/>
        <w:spacing w:before="0" w:after="40"/>
        <w:ind w:left="1037"/>
      </w:pPr>
      <w:r>
        <w:rPr>
          <w:b/>
          <w:i/>
          <w:sz w:val="20"/>
        </w:rPr>
        <w:t xml:space="preserve">Source: </w:t>
      </w:r>
      <w:r>
        <w:rPr>
          <w:i/>
          <w:sz w:val="20"/>
        </w:rPr>
        <w:t>Exhibit F Row # 34 shows that SkyVault's Endpoint Security Agent (v4.1) generated an automated alert on a transfer exceeding a 500-file threshold but did not block it, illustrating the kind of record a comparable Meridian control would produce; the April 5, 2024 letter's compliance representation.</w:t>
      </w:r>
    </w:p>
    <w:p>
      <w:pPr>
        <w:keepNext w:val="0"/>
        <w:spacing w:before="0" w:after="40"/>
        <w:ind w:left="1037"/>
      </w:pPr>
      <w:r>
        <w:rPr>
          <w:b/>
          <w:i/>
          <w:sz w:val="20"/>
        </w:rPr>
        <w:t xml:space="preserve">Evidentiary purpose: </w:t>
      </w:r>
      <w:r>
        <w:rPr>
          <w:i/>
          <w:sz w:val="20"/>
        </w:rPr>
        <w:t>If Meridian has equivalent logging, it can affirmatively show what did not arrive. Absence of logging is itself something the partner must know before making any representation about Meridian's controls.</w:t>
      </w:r>
    </w:p>
    <w:p>
      <w:pPr>
        <w:keepNext/>
        <w:spacing w:before="180" w:after="40"/>
        <w:ind w:left="605" w:hanging="605"/>
      </w:pPr>
      <w:r>
        <w:rPr>
          <w:b/>
        </w:rPr>
        <w:t xml:space="preserve">T-15  </w:t>
      </w:r>
      <w:r>
        <w:t>Has any device matching the identifier in Exhibit F ever been connected to a Meridian system, and does any directory or archive named “SkyVault_Export” exist anywhere in Meridian's environment?</w:t>
      </w:r>
    </w:p>
    <w:p>
      <w:pPr>
        <w:keepNext/>
        <w:spacing w:before="0" w:after="40"/>
        <w:ind w:left="1037"/>
      </w:pPr>
      <w:r>
        <w:rPr>
          <w:b/>
          <w:i/>
          <w:sz w:val="20"/>
        </w:rPr>
        <w:t xml:space="preserve">Source: </w:t>
      </w:r>
      <w:r>
        <w:rPr>
          <w:i/>
          <w:sz w:val="20"/>
        </w:rPr>
        <w:t>Exhibit F Row # s 33–35, Device ID “USB\VID_0781&amp;PID_5581\4C530001221029118035 (SanDisk Ultra 128GB)” and destination path “Removable Disk (F:\SkyVault_Export\)”.</w:t>
      </w:r>
    </w:p>
    <w:p>
      <w:pPr>
        <w:keepNext w:val="0"/>
        <w:spacing w:before="0" w:after="40"/>
        <w:ind w:left="1037"/>
      </w:pPr>
      <w:r>
        <w:rPr>
          <w:b/>
          <w:i/>
          <w:sz w:val="20"/>
        </w:rPr>
        <w:t xml:space="preserve">Evidentiary purpose: </w:t>
      </w:r>
      <w:r>
        <w:rPr>
          <w:i/>
          <w:sz w:val="20"/>
        </w:rPr>
        <w:t>A specific, falsifiable search against the one identifier SkyVault's own exhibit supplies. A documented negative result is meaningful; an undocumented assumption is not.</w:t>
      </w:r>
    </w:p>
    <w:p>
      <w:pPr>
        <w:keepNext/>
        <w:spacing w:before="180" w:after="40"/>
        <w:ind w:left="605" w:hanging="605"/>
      </w:pPr>
      <w:r>
        <w:rPr>
          <w:b/>
        </w:rPr>
        <w:t xml:space="preserve">T-16  </w:t>
      </w:r>
      <w:r>
        <w:t>Reading the bulk-transfer record as forensic practitioners: is the 4,700 figure deduplicated, does it overlap the earlier exports, is a single timestamp consistent with a transfer of that size, and what would the underlying systems natively record?</w:t>
      </w:r>
    </w:p>
    <w:p>
      <w:pPr>
        <w:keepNext/>
        <w:spacing w:before="0" w:after="40"/>
        <w:ind w:left="1037"/>
      </w:pPr>
      <w:r>
        <w:rPr>
          <w:b/>
          <w:i/>
          <w:sz w:val="20"/>
        </w:rPr>
        <w:t xml:space="preserve">Source: </w:t>
      </w:r>
      <w:r>
        <w:rPr>
          <w:i/>
          <w:sz w:val="20"/>
        </w:rPr>
        <w:t>Exhibit F Row # 34 (4,700 files / 18,473.2 MB logged at a single timestamp, 2018-02-09T02:18:12Z, with Notes describing “approx. 4,700 files (~18.1 GB)” spanning five spaces) read against Row # s 27–32 (1,526 files already exported to local disk from those same five spaces between 02/02 and 02/08/2018) and Row # s 33 and 35 (device connected 02:17:44Z, disconnected 03:42:58Z — an approximately 85-minute window); Report Metadata B8 lists the four underlying data sources (Confluence Server v6.12.2 audit logs, Endpoint Security Agent v4.1 event logs, Active Directory authentication logs, and the USB device connection registry).</w:t>
      </w:r>
    </w:p>
    <w:p>
      <w:pPr>
        <w:keepNext w:val="0"/>
        <w:spacing w:before="0" w:after="40"/>
        <w:ind w:left="1037"/>
      </w:pPr>
      <w:r>
        <w:rPr>
          <w:b/>
          <w:i/>
          <w:sz w:val="20"/>
        </w:rPr>
        <w:t xml:space="preserve">Evidentiary purpose: </w:t>
      </w:r>
      <w:r>
        <w:rPr>
          <w:i/>
          <w:sz w:val="20"/>
        </w:rPr>
        <w:t>The 4,700 figure is repeated verbatim in ¶¶ 48, 49, 50, 94, 107 and 128(a) and is the quantitative spine of SkyVault's case. Whether it is a deduplicated count, a summary aggregate, or an overlap with earlier events is a technical question our own people can frame for a consulting expert now.</w:t>
      </w:r>
    </w:p>
    <w:p>
      <w:pPr>
        <w:keepNext/>
        <w:spacing w:before="180" w:after="40"/>
        <w:ind w:left="605" w:hanging="605"/>
      </w:pPr>
      <w:r>
        <w:rPr>
          <w:b/>
        </w:rPr>
        <w:t xml:space="preserve">T-17  </w:t>
      </w:r>
      <w:r>
        <w:t>What would we need from SkyVault to identify the files actually transferred, and what fields would let us test the count and the content?</w:t>
      </w:r>
    </w:p>
    <w:p>
      <w:pPr>
        <w:keepNext/>
        <w:spacing w:before="0" w:after="40"/>
        <w:ind w:left="1037"/>
      </w:pPr>
      <w:r>
        <w:rPr>
          <w:b/>
          <w:i/>
          <w:sz w:val="20"/>
        </w:rPr>
        <w:t xml:space="preserve">Source: </w:t>
      </w:r>
      <w:r>
        <w:rPr>
          <w:i/>
          <w:sz w:val="20"/>
        </w:rPr>
        <w:t>Exhibit F's File/Object Name column reads “[Multiple — see File Count]” for Row # s 27–32 and Row # 34, so no file-level manifest exists in the exhibit; Report Metadata B13 states that the full audit log contains 12,847 events for the review period and that only 50 were selected; Complaint ¶ 49 alleges on information and belief that the transfer encompassed all five trade-secret categories.</w:t>
      </w:r>
    </w:p>
    <w:p>
      <w:pPr>
        <w:keepNext w:val="0"/>
        <w:spacing w:before="0" w:after="40"/>
        <w:ind w:left="1037"/>
      </w:pPr>
      <w:r>
        <w:rPr>
          <w:b/>
          <w:i/>
          <w:sz w:val="20"/>
        </w:rPr>
        <w:t xml:space="preserve">Evidentiary purpose: </w:t>
      </w:r>
      <w:r>
        <w:rPr>
          <w:i/>
          <w:sz w:val="20"/>
        </w:rPr>
        <w:t>Without a manifest, Exhibit F cannot establish which files moved, and therefore cannot establish that any trade secret or any copyrighted source file moved. Framing the precise request now shapes the first round of discovery.</w:t>
      </w:r>
    </w:p>
    <w:p>
      <w:pPr>
        <w:keepNext/>
        <w:spacing w:before="180" w:after="40"/>
        <w:ind w:left="605" w:hanging="605"/>
      </w:pPr>
      <w:r>
        <w:rPr>
          <w:b/>
        </w:rPr>
        <w:t xml:space="preserve">T-18  </w:t>
      </w:r>
      <w:r>
        <w:t>What is required to verify the forensic image on which the exhibit rests?</w:t>
      </w:r>
    </w:p>
    <w:p>
      <w:pPr>
        <w:keepNext/>
        <w:spacing w:before="0" w:after="40"/>
        <w:ind w:left="1037"/>
      </w:pPr>
      <w:r>
        <w:rPr>
          <w:b/>
          <w:i/>
          <w:sz w:val="20"/>
        </w:rPr>
        <w:t xml:space="preserve">Source: </w:t>
      </w:r>
      <w:r>
        <w:rPr>
          <w:i/>
          <w:sz w:val="20"/>
        </w:rPr>
        <w:t>Exhibit F Report Metadata B12 (“Server image acquired 02/19/2018 by T. Hargrove; verified hash SHA-256: 9a3f…d82e; stored in evidence locker HFG-2018-0034” — the hash is truncated), B11 (examiner Thomas R. Hargrove, CFCE, EnCE), B6 (report dated March 5, 2018) and B14 (the exhibit is labeled attorney work product prepared in anticipation of litigation).</w:t>
      </w:r>
    </w:p>
    <w:p>
      <w:pPr>
        <w:keepNext w:val="0"/>
        <w:spacing w:before="0" w:after="40"/>
        <w:ind w:left="1037"/>
      </w:pPr>
      <w:r>
        <w:rPr>
          <w:b/>
          <w:i/>
          <w:sz w:val="20"/>
        </w:rPr>
        <w:t xml:space="preserve">Evidentiary purpose: </w:t>
      </w:r>
      <w:r>
        <w:rPr>
          <w:i/>
          <w:sz w:val="20"/>
        </w:rPr>
        <w:t>A truncated hash cannot verify anything. The complete hash, acquisition documentation and full chain of custody are prerequisites to accepting the exhibit's integrity, and the work-product legend raises the separate question of what protection SkyVault claims over the unproduced remainder.</w:t>
      </w:r>
    </w:p>
    <w:p>
      <w:pPr>
        <w:keepNext/>
        <w:spacing w:before="180" w:after="40"/>
        <w:ind w:left="605" w:hanging="605"/>
      </w:pPr>
      <w:r>
        <w:rPr>
          <w:b/>
        </w:rPr>
        <w:t xml:space="preserve">T-19  </w:t>
      </w:r>
      <w:r>
        <w:t>Confirm the time-zone convention across the log and tell us which local date the transfer occurred on.</w:t>
      </w:r>
    </w:p>
    <w:p>
      <w:pPr>
        <w:keepNext/>
        <w:spacing w:before="0" w:after="40"/>
        <w:ind w:left="1037"/>
      </w:pPr>
      <w:r>
        <w:rPr>
          <w:b/>
          <w:i/>
          <w:sz w:val="20"/>
        </w:rPr>
        <w:t xml:space="preserve">Source: </w:t>
      </w:r>
      <w:r>
        <w:rPr>
          <w:i/>
          <w:sz w:val="20"/>
        </w:rPr>
        <w:t>Exhibit F pairs a UTC “Timestamp (UTC)” column with an “Event Time (CT)” column offset by six hours throughout; at Row # s 33 and 34 the Event Date column reads 02/09/2018 while the Event Time (CT) column reads “08:17:44 PM (02/08 CT)” and “08:18:12 PM (02/08 CT)”; Complaint ¶¶ 48, 50, 51, 94 and 107 all describe the event as occurring on February 9, 2018.</w:t>
      </w:r>
    </w:p>
    <w:p>
      <w:pPr>
        <w:keepNext w:val="0"/>
        <w:spacing w:before="0" w:after="40"/>
        <w:ind w:left="1037"/>
      </w:pPr>
      <w:r>
        <w:rPr>
          <w:b/>
          <w:i/>
          <w:sz w:val="20"/>
        </w:rPr>
        <w:t xml:space="preserve">Evidentiary purpose: </w:t>
      </w:r>
      <w:r>
        <w:rPr>
          <w:i/>
          <w:sz w:val="20"/>
        </w:rPr>
        <w:t>The exhibit's own local-time field places the connection and the copy on the evening of February 8. The correct local date governs what corroborating records (badge access, calendars, travel, physical presence) we ask for, and it bears on ¶ 48's “approximately one week before his last day” framing.</w:t>
      </w:r>
    </w:p>
    <w:p>
      <w:pPr>
        <w:keepNext/>
        <w:spacing w:before="180" w:after="40"/>
        <w:ind w:left="605" w:hanging="605"/>
      </w:pPr>
      <w:r>
        <w:rPr>
          <w:b/>
        </w:rPr>
        <w:t xml:space="preserve">T-20  </w:t>
      </w:r>
      <w:r>
        <w:t>What Meridian systems hold engineering data from 2018 to the present, what retention or auto-deletion applies to each, and has anything been suspended?</w:t>
      </w:r>
    </w:p>
    <w:p>
      <w:pPr>
        <w:keepNext/>
        <w:spacing w:before="0" w:after="40"/>
        <w:ind w:left="1037"/>
      </w:pPr>
      <w:r>
        <w:rPr>
          <w:b/>
          <w:i/>
          <w:sz w:val="20"/>
        </w:rPr>
        <w:t xml:space="preserve">Source: </w:t>
      </w:r>
      <w:r>
        <w:rPr>
          <w:i/>
          <w:sz w:val="20"/>
        </w:rPr>
        <w:t>White paper § 7.2 (development from April 2018) defines the period that must be preserved; Exhibit F Row # 40 shows SkyVault instructing its own IT to “preserve all logs and endpoint data per litigation hold” on 02/12/2018, an asymmetry worth noting.</w:t>
      </w:r>
    </w:p>
    <w:p>
      <w:pPr>
        <w:keepNext w:val="0"/>
        <w:spacing w:before="0" w:after="40"/>
        <w:ind w:left="1037"/>
      </w:pPr>
      <w:r>
        <w:rPr>
          <w:b/>
          <w:i/>
          <w:sz w:val="20"/>
        </w:rPr>
        <w:t xml:space="preserve">Evidentiary purpose: </w:t>
      </w:r>
      <w:r>
        <w:rPr>
          <w:i/>
          <w:sz w:val="20"/>
        </w:rPr>
        <w:t>Preservation scope is the most time-sensitive item in the entire investigation. Any auto-deletion still running on a relevant system is an emergency, not an interview topic.</w:t>
      </w:r>
    </w:p>
    <w:p>
      <w:pPr>
        <w:keepNext/>
        <w:spacing w:before="180" w:after="40"/>
        <w:ind w:left="605" w:hanging="605"/>
      </w:pPr>
      <w:r>
        <w:rPr>
          <w:b/>
        </w:rPr>
        <w:t xml:space="preserve">T-21  </w:t>
      </w:r>
      <w:r>
        <w:t>Could this team reconstruct, from surviving records alone, a module-by-module provenance narrative — and where are the gaps?</w:t>
      </w:r>
    </w:p>
    <w:p>
      <w:pPr>
        <w:keepNext/>
        <w:spacing w:before="0" w:after="40"/>
        <w:ind w:left="1037"/>
      </w:pPr>
      <w:r>
        <w:rPr>
          <w:b/>
          <w:i/>
          <w:sz w:val="20"/>
        </w:rPr>
        <w:t xml:space="preserve">Source: </w:t>
      </w:r>
      <w:r>
        <w:rPr>
          <w:i/>
          <w:sz w:val="20"/>
        </w:rPr>
        <w:t>White paper § 7.2 sets out the provenance narrative Meridian has already published; Complaint ¶¶ 54, 119 and 120 contest it.</w:t>
      </w:r>
    </w:p>
    <w:p>
      <w:pPr>
        <w:keepNext w:val="0"/>
        <w:spacing w:before="0" w:after="40"/>
        <w:ind w:left="1037"/>
      </w:pPr>
      <w:r>
        <w:rPr>
          <w:b/>
          <w:i/>
          <w:sz w:val="20"/>
        </w:rPr>
        <w:t xml:space="preserve">Evidentiary purpose: </w:t>
      </w:r>
      <w:r>
        <w:rPr>
          <w:i/>
          <w:sz w:val="20"/>
        </w:rPr>
        <w:t>Identifies, before any external deadline, which parts of the published account are documented and which rest only on recollection. The gaps determine where expert work and further collection are needed.</w:t>
      </w:r>
    </w:p>
    <w:p>
      <w:pPr>
        <w:pStyle w:val="Heading1"/>
      </w:pPr>
      <w:r>
        <w:t>VI.  Witness Category 3 — Meridian's Legal Lead</w:t>
      </w:r>
    </w:p>
    <w:p>
      <w:pPr>
        <w:spacing w:before="0" w:after="120"/>
        <w:ind w:left="0" w:firstLine="0"/>
      </w:pPr>
      <w:r>
        <w:rPr>
          <w:b w:val="0"/>
          <w:i w:val="0"/>
          <w:sz w:val="22"/>
        </w:rPr>
        <w:t>Meridian's legal lead — identified in our materials as Jordan Kessler, VP of Legal, who was copied on outside counsel's April 5, 2024 response — is interviewed for a different purpose than the other two categories. This witness is the custodian of the company's factual record about how the dispute was received, routed, preserved and responded to, and the person best positioned to map Meridian's policies, agreements and systems. That value comes with the sharpest privilege constraints in this round: the same conversation that yields discoverable facts about dates, custodians, policies and systems will run continuously along the boundary of attorney–client communications and work product, and the interviewer must police that boundary in real time rather than sort it out later.</w:t>
      </w:r>
    </w:p>
    <w:p>
      <w:pPr>
        <w:pStyle w:val="Heading2"/>
      </w:pPr>
      <w:r>
        <w:t>A.  Discoverable Factual Events, Records and Systems</w:t>
      </w:r>
    </w:p>
    <w:p>
      <w:pPr>
        <w:keepNext/>
        <w:spacing w:before="180" w:after="40"/>
        <w:ind w:left="605" w:hanging="605"/>
      </w:pPr>
      <w:r>
        <w:rPr>
          <w:b/>
        </w:rPr>
        <w:t xml:space="preserve">L-1  </w:t>
      </w:r>
      <w:r>
        <w:t>Describe the intake of SkyVault's March 12, 2024 letter — when it arrived, in what form, who received it, how it was routed internally, and what was calendared as a result.</w:t>
      </w:r>
    </w:p>
    <w:p>
      <w:pPr>
        <w:keepNext/>
        <w:spacing w:before="0" w:after="40"/>
        <w:ind w:left="1037"/>
      </w:pPr>
      <w:r>
        <w:rPr>
          <w:b/>
          <w:i/>
          <w:sz w:val="20"/>
        </w:rPr>
        <w:t xml:space="preserve">Source: </w:t>
      </w:r>
      <w:r>
        <w:rPr>
          <w:i/>
          <w:sz w:val="20"/>
        </w:rPr>
        <w:t>Complaint ¶ 61 (letter dated March 12, 2024, sent by Callister, Voss &amp; Greenbaum LLP to CEO Priya Chandrasekaran at Meridian's Austin headquarters, identifying the three patents-in-suit and making three demands) and the April 5, 2024 letter (acknowledging receipt and responding within 24 days). The March 12, 2024 letter is not in our file.</w:t>
      </w:r>
    </w:p>
    <w:p>
      <w:pPr>
        <w:keepNext w:val="0"/>
        <w:spacing w:before="0" w:after="40"/>
        <w:ind w:left="1037"/>
      </w:pPr>
      <w:r>
        <w:rPr>
          <w:b/>
          <w:i/>
          <w:sz w:val="20"/>
        </w:rPr>
        <w:t xml:space="preserve">Evidentiary purpose: </w:t>
      </w:r>
      <w:r>
        <w:rPr>
          <w:i/>
          <w:sz w:val="20"/>
        </w:rPr>
        <w:t>Receipt and routing are objective events, not privileged communications, and they fix the notice date underpinning the willfulness allegations in ¶¶ 63, 70, 78 and 86.</w:t>
      </w:r>
    </w:p>
    <w:p>
      <w:pPr>
        <w:keepNext/>
        <w:spacing w:before="180" w:after="40"/>
        <w:ind w:left="605" w:hanging="605"/>
      </w:pPr>
      <w:r>
        <w:rPr>
          <w:b/>
        </w:rPr>
        <w:t xml:space="preserve">L-2  </w:t>
      </w:r>
      <w:r>
        <w:t>Identify the date any litigation hold issued, the custodians it reached, the systems and date ranges it covered, whether it has been refreshed, and whether automatic deletion was suspended on each system.</w:t>
      </w:r>
    </w:p>
    <w:p>
      <w:pPr>
        <w:keepNext/>
        <w:spacing w:before="0" w:after="40"/>
        <w:ind w:left="1037"/>
      </w:pPr>
      <w:r>
        <w:rPr>
          <w:b/>
          <w:i/>
          <w:sz w:val="20"/>
        </w:rPr>
        <w:t xml:space="preserve">Source: </w:t>
      </w:r>
      <w:r>
        <w:rPr>
          <w:i/>
          <w:sz w:val="20"/>
        </w:rPr>
        <w:t>Exhibit F Row # 40 shows SkyVault's counterpart step — “IT to preserve all logs and endpoint data per litigation hold”, dated 02/12/2018 — and Row # 50 records the matter's referral to SkyVault's litigation counsel on 02/16/2018; Complaint ¶¶ 61–63 establish that Meridian was on notice no later than March 2024.</w:t>
      </w:r>
    </w:p>
    <w:p>
      <w:pPr>
        <w:keepNext w:val="0"/>
        <w:spacing w:before="0" w:after="40"/>
        <w:ind w:left="1037"/>
      </w:pPr>
      <w:r>
        <w:rPr>
          <w:b/>
          <w:i/>
          <w:sz w:val="20"/>
        </w:rPr>
        <w:t xml:space="preserve">Evidentiary purpose: </w:t>
      </w:r>
      <w:r>
        <w:rPr>
          <w:i/>
          <w:sz w:val="20"/>
        </w:rPr>
        <w:t>The existence, date, distribution and scope of a hold are ordinarily discoverable even where the notice's text is withheld, and they are the first thing an opponent probes on a spoliation theory. Ask for the operative facts; do not ask the witness to recite counsel's drafting deliberations.</w:t>
      </w:r>
    </w:p>
    <w:p>
      <w:pPr>
        <w:keepNext/>
        <w:spacing w:before="180" w:after="40"/>
        <w:ind w:left="605" w:hanging="605"/>
      </w:pPr>
      <w:r>
        <w:rPr>
          <w:b/>
        </w:rPr>
        <w:t xml:space="preserve">L-3  </w:t>
      </w:r>
      <w:r>
        <w:t>What preservation or collection steps, if any, were taken in 2018 at Meridian's formation, and was there any communication with SkyVault at that time?</w:t>
      </w:r>
    </w:p>
    <w:p>
      <w:pPr>
        <w:keepNext/>
        <w:spacing w:before="0" w:after="40"/>
        <w:ind w:left="1037"/>
      </w:pPr>
      <w:r>
        <w:rPr>
          <w:b/>
          <w:i/>
          <w:sz w:val="20"/>
        </w:rPr>
        <w:t xml:space="preserve">Source: </w:t>
      </w:r>
      <w:r>
        <w:rPr>
          <w:i/>
          <w:sz w:val="20"/>
        </w:rPr>
        <w:t>Complaint ¶ 53 (Meridian co-founded on or about April 11, 2018, roughly two months after Holt's February 16, 2018 departure); Exhibit F Row # s 45 and 50 show SkyVault engaging forensic examiners and litigation counsel in February 2018.</w:t>
      </w:r>
    </w:p>
    <w:p>
      <w:pPr>
        <w:keepNext w:val="0"/>
        <w:spacing w:before="0" w:after="40"/>
        <w:ind w:left="1037"/>
      </w:pPr>
      <w:r>
        <w:rPr>
          <w:b/>
          <w:i/>
          <w:sz w:val="20"/>
        </w:rPr>
        <w:t xml:space="preserve">Evidentiary purpose: </w:t>
      </w:r>
      <w:r>
        <w:rPr>
          <w:i/>
          <w:sz w:val="20"/>
        </w:rPr>
        <w:t>Establishes whether Meridian's duty to preserve was ever triggered in 2018 and what, if anything, from that period survives — the earliest and most probative window for the independent-development account.</w:t>
      </w:r>
    </w:p>
    <w:p>
      <w:pPr>
        <w:keepNext/>
        <w:spacing w:before="180" w:after="40"/>
        <w:ind w:left="605" w:hanging="605"/>
      </w:pPr>
      <w:r>
        <w:rPr>
          <w:b/>
        </w:rPr>
        <w:t xml:space="preserve">L-4  </w:t>
      </w:r>
      <w:r>
        <w:t>What records-retention schedule applied between 2018 and 2024 to source control, email, chat, ticketing and build logs?</w:t>
      </w:r>
    </w:p>
    <w:p>
      <w:pPr>
        <w:keepNext/>
        <w:spacing w:before="0" w:after="40"/>
        <w:ind w:left="1037"/>
      </w:pPr>
      <w:r>
        <w:rPr>
          <w:b/>
          <w:i/>
          <w:sz w:val="20"/>
        </w:rPr>
        <w:t xml:space="preserve">Source: </w:t>
      </w:r>
      <w:r>
        <w:rPr>
          <w:i/>
          <w:sz w:val="20"/>
        </w:rPr>
        <w:t>White paper § 7.2 (development from April 2018 through the 2021–2022 enhancements) defines the period at issue; Complaint ¶ 54 makes the 2018–2020 development chronology central.</w:t>
      </w:r>
    </w:p>
    <w:p>
      <w:pPr>
        <w:keepNext w:val="0"/>
        <w:spacing w:before="0" w:after="40"/>
        <w:ind w:left="1037"/>
      </w:pPr>
      <w:r>
        <w:rPr>
          <w:b/>
          <w:i/>
          <w:sz w:val="20"/>
        </w:rPr>
        <w:t xml:space="preserve">Evidentiary purpose: </w:t>
      </w:r>
      <w:r>
        <w:rPr>
          <w:i/>
          <w:sz w:val="20"/>
        </w:rPr>
        <w:t>Retention periods determine what can still be recovered. A three-year chat retention policy, for example, would silently have destroyed the most contemporaneous record of the 2018–2019 design work.</w:t>
      </w:r>
    </w:p>
    <w:p>
      <w:pPr>
        <w:keepNext/>
        <w:spacing w:before="180" w:after="40"/>
        <w:ind w:left="605" w:hanging="605"/>
      </w:pPr>
      <w:r>
        <w:rPr>
          <w:b/>
        </w:rPr>
        <w:t xml:space="preserve">L-5  </w:t>
      </w:r>
      <w:r>
        <w:t>Identify and produce the internal compliance processes referenced in the April 5, 2024 letter — what written policies exist, when each was adopted, who owns it, and how compliance is audited.</w:t>
      </w:r>
    </w:p>
    <w:p>
      <w:pPr>
        <w:keepNext/>
        <w:spacing w:before="0" w:after="40"/>
        <w:ind w:left="1037"/>
      </w:pPr>
      <w:r>
        <w:rPr>
          <w:b/>
          <w:i/>
          <w:sz w:val="20"/>
        </w:rPr>
        <w:t xml:space="preserve">Source: </w:t>
      </w:r>
      <w:r>
        <w:rPr>
          <w:i/>
          <w:sz w:val="20"/>
        </w:rPr>
        <w:t>The April 5, 2024 letter, third substantive paragraph: “Meridian maintains robust internal compliance processes designed to safeguard against the unauthorized use of third-party intellectual property.”</w:t>
      </w:r>
    </w:p>
    <w:p>
      <w:pPr>
        <w:keepNext w:val="0"/>
        <w:spacing w:before="0" w:after="40"/>
        <w:ind w:left="1037"/>
      </w:pPr>
      <w:r>
        <w:rPr>
          <w:b/>
          <w:i/>
          <w:sz w:val="20"/>
        </w:rPr>
        <w:t xml:space="preserve">Evidentiary purpose: </w:t>
      </w:r>
      <w:r>
        <w:rPr>
          <w:i/>
          <w:sz w:val="20"/>
        </w:rPr>
        <w:t>A representation has already been made in writing to opposing counsel. The underlying policies are ordinary business records, not privileged, and either substantiate the statement or reveal an exposure the partner must know about immediately.</w:t>
      </w:r>
    </w:p>
    <w:p>
      <w:pPr>
        <w:keepNext/>
        <w:spacing w:before="180" w:after="40"/>
        <w:ind w:left="605" w:hanging="605"/>
      </w:pPr>
      <w:r>
        <w:rPr>
          <w:b/>
        </w:rPr>
        <w:t xml:space="preserve">L-6  </w:t>
      </w:r>
      <w:r>
        <w:t>What does Meridian require of employees on intellectual property — assignment agreements, prior-invention disclosures, confidentiality undertakings — and does a complete set exist for Dr. Holt and for the early engineering hires?</w:t>
      </w:r>
    </w:p>
    <w:p>
      <w:pPr>
        <w:keepNext/>
        <w:spacing w:before="0" w:after="40"/>
        <w:ind w:left="1037"/>
      </w:pPr>
      <w:r>
        <w:rPr>
          <w:b/>
          <w:i/>
          <w:sz w:val="20"/>
        </w:rPr>
        <w:t xml:space="preserve">Source: </w:t>
      </w:r>
      <w:r>
        <w:rPr>
          <w:i/>
          <w:sz w:val="20"/>
        </w:rPr>
        <w:t>ECIAA §§ 5.1–5.4 illustrate the structure SkyVault used, including the Exhibit A prior-inventions mechanism; ECIAA § 7.1 (twelve-month non-solicitation running through February 16, 2019); Complaint ¶ 130 alleges Meridian knew of Holt's ECIAA obligations and induced and benefited from the breach.</w:t>
      </w:r>
    </w:p>
    <w:p>
      <w:pPr>
        <w:keepNext w:val="0"/>
        <w:spacing w:before="0" w:after="40"/>
        <w:ind w:left="1037"/>
      </w:pPr>
      <w:r>
        <w:rPr>
          <w:b/>
          <w:i/>
          <w:sz w:val="20"/>
        </w:rPr>
        <w:t xml:space="preserve">Evidentiary purpose: </w:t>
      </w:r>
      <w:r>
        <w:rPr>
          <w:i/>
          <w:sz w:val="20"/>
        </w:rPr>
        <w:t>Meridian's own onboarding paperwork is the most direct evidence of the company's practice and of whether it inquired into Holt's prior obligations. It also identifies any hire that could implicate the unpleaded non-solicitation provision.</w:t>
      </w:r>
    </w:p>
    <w:p>
      <w:pPr>
        <w:keepNext/>
        <w:spacing w:before="180" w:after="40"/>
        <w:ind w:left="605" w:hanging="605"/>
      </w:pPr>
      <w:r>
        <w:rPr>
          <w:b/>
        </w:rPr>
        <w:t xml:space="preserve">L-7  </w:t>
      </w:r>
      <w:r>
        <w:t>Who approves the introduction of open-source or third-party components, is approval logged, and do the approval records go back to 2018?</w:t>
      </w:r>
    </w:p>
    <w:p>
      <w:pPr>
        <w:keepNext/>
        <w:spacing w:before="0" w:after="40"/>
        <w:ind w:left="1037"/>
      </w:pPr>
      <w:r>
        <w:rPr>
          <w:b/>
          <w:i/>
          <w:sz w:val="20"/>
        </w:rPr>
        <w:t xml:space="preserve">Source: </w:t>
      </w:r>
      <w:r>
        <w:rPr>
          <w:i/>
          <w:sz w:val="20"/>
        </w:rPr>
        <w:t>White paper § 4.2 and § 7.2 (reliance on publicly available implementations including DroneNav) and Reference 2; the April 5, 2024 letter's compliance representation.</w:t>
      </w:r>
    </w:p>
    <w:p>
      <w:pPr>
        <w:keepNext w:val="0"/>
        <w:spacing w:before="0" w:after="40"/>
        <w:ind w:left="1037"/>
      </w:pPr>
      <w:r>
        <w:rPr>
          <w:b/>
          <w:i/>
          <w:sz w:val="20"/>
        </w:rPr>
        <w:t xml:space="preserve">Evidentiary purpose: </w:t>
      </w:r>
      <w:r>
        <w:rPr>
          <w:i/>
          <w:sz w:val="20"/>
        </w:rPr>
        <w:t>Bridges the technical and legal records: an approval log converts the white paper's narrative attribution into a documented, auditable decision trail.</w:t>
      </w:r>
    </w:p>
    <w:p>
      <w:pPr>
        <w:keepNext/>
        <w:spacing w:before="180" w:after="40"/>
        <w:ind w:left="605" w:hanging="605"/>
      </w:pPr>
      <w:r>
        <w:rPr>
          <w:b/>
        </w:rPr>
        <w:t xml:space="preserve">L-8  </w:t>
      </w:r>
      <w:r>
        <w:t>Identify the fact and timing of any intellectual-property diligence conducted for the March 2023 Series B round, who conducted it, what categories of materials were furnished, and what confidentiality or common-interest agreements govern those materials.</w:t>
      </w:r>
    </w:p>
    <w:p>
      <w:pPr>
        <w:keepNext/>
        <w:spacing w:before="0" w:after="40"/>
        <w:ind w:left="1037"/>
      </w:pPr>
      <w:r>
        <w:rPr>
          <w:b/>
          <w:i/>
          <w:sz w:val="20"/>
        </w:rPr>
        <w:t xml:space="preserve">Source: </w:t>
      </w:r>
      <w:r>
        <w:rPr>
          <w:i/>
          <w:sz w:val="20"/>
        </w:rPr>
        <w:t>Complaint ¶ 12 (a $35 million Series B round led by Ridgepoint Ventures in March 2023, and 2023 revenue of approximately $19.4 million, both pleaded on information and belief in part).</w:t>
      </w:r>
    </w:p>
    <w:p>
      <w:pPr>
        <w:keepNext w:val="0"/>
        <w:spacing w:before="0" w:after="40"/>
        <w:ind w:left="1037"/>
      </w:pPr>
      <w:r>
        <w:rPr>
          <w:b/>
          <w:i/>
          <w:sz w:val="20"/>
        </w:rPr>
        <w:t xml:space="preserve">Evidentiary purpose: </w:t>
      </w:r>
      <w:r>
        <w:rPr>
          <w:i/>
          <w:sz w:val="20"/>
        </w:rPr>
        <w:t>Diligence files often contain the earliest contemporaneous written statements about technology provenance, made long before any dispute. Disclosure to investors also raises waiver questions that must be scoped before anything is produced or relied upon.</w:t>
      </w:r>
    </w:p>
    <w:p>
      <w:pPr>
        <w:keepNext/>
        <w:spacing w:before="180" w:after="40"/>
        <w:ind w:left="605" w:hanging="605"/>
      </w:pPr>
      <w:r>
        <w:rPr>
          <w:b/>
        </w:rPr>
        <w:t xml:space="preserve">L-9  </w:t>
      </w:r>
      <w:r>
        <w:t>Identify every person with factual involvement in responding to the SkyVault allegations, separating those who acted at counsel's direction from those who did not.</w:t>
      </w:r>
    </w:p>
    <w:p>
      <w:pPr>
        <w:keepNext/>
        <w:spacing w:before="0" w:after="40"/>
        <w:ind w:left="1037"/>
      </w:pPr>
      <w:r>
        <w:rPr>
          <w:b/>
          <w:i/>
          <w:sz w:val="20"/>
        </w:rPr>
        <w:t xml:space="preserve">Source: </w:t>
      </w:r>
      <w:r>
        <w:rPr>
          <w:i/>
          <w:sz w:val="20"/>
        </w:rPr>
        <w:t>The April 5, 2024 letter (signed by Laura Brackwell of Brackwell &amp; Haines LLP, copied to Jordan Kessler, VP of Legal) and Complaint ¶ 62 (describing the response as coming from Meridian's outside counsel).</w:t>
      </w:r>
    </w:p>
    <w:p>
      <w:pPr>
        <w:keepNext w:val="0"/>
        <w:spacing w:before="0" w:after="40"/>
        <w:ind w:left="1037"/>
      </w:pPr>
      <w:r>
        <w:rPr>
          <w:b/>
          <w:i/>
          <w:sz w:val="20"/>
        </w:rPr>
        <w:t xml:space="preserve">Evidentiary purpose: </w:t>
      </w:r>
      <w:r>
        <w:rPr>
          <w:i/>
          <w:sz w:val="20"/>
        </w:rPr>
        <w:t>Sets the custodian list and draws the privilege perimeter before substantive questioning begins. People acting at counsel's direction are in a different position from those who merely collected records.</w:t>
      </w:r>
    </w:p>
    <w:p>
      <w:pPr>
        <w:keepNext/>
        <w:spacing w:before="180" w:after="40"/>
        <w:ind w:left="605" w:hanging="605"/>
      </w:pPr>
      <w:r>
        <w:rPr>
          <w:b/>
        </w:rPr>
        <w:t xml:space="preserve">L-10  </w:t>
      </w:r>
      <w:r>
        <w:t>What communications has Meridian had with Dr. Holt regarding his SkyVault obligations — at hiring, at any point thereafter, and since March 2024?</w:t>
      </w:r>
    </w:p>
    <w:p>
      <w:pPr>
        <w:keepNext/>
        <w:spacing w:before="0" w:after="40"/>
        <w:ind w:left="1037"/>
      </w:pPr>
      <w:r>
        <w:rPr>
          <w:b/>
          <w:i/>
          <w:sz w:val="20"/>
        </w:rPr>
        <w:t xml:space="preserve">Source: </w:t>
      </w:r>
      <w:r>
        <w:rPr>
          <w:i/>
          <w:sz w:val="20"/>
        </w:rPr>
        <w:t>Complaint ¶ 130 alleges that “Meridian was aware of Holt's obligations under the ECIAA and induced, participated in, and benefited from Holt's breach”; ECIAA §§ 3.1, 3.5 and 5.2 define the obligations in question; Complaint ¶ 53 places Holt's arrival at Meridian in April 2018.</w:t>
      </w:r>
    </w:p>
    <w:p>
      <w:pPr>
        <w:keepNext w:val="0"/>
        <w:spacing w:before="0" w:after="40"/>
        <w:ind w:left="1037"/>
      </w:pPr>
      <w:r>
        <w:rPr>
          <w:b/>
          <w:i/>
          <w:sz w:val="20"/>
        </w:rPr>
        <w:t xml:space="preserve">Evidentiary purpose: </w:t>
      </w:r>
      <w:r>
        <w:rPr>
          <w:i/>
          <w:sz w:val="20"/>
        </w:rPr>
        <w:t>Company knowledge of the ECIAA is the hinge of the inducement theory. Pre-litigation communications on the subject are largely non-privileged and may be the best evidence either way; post-March-2024 communications will mostly be privileged and should be logged rather than explored.</w:t>
      </w:r>
    </w:p>
    <w:p>
      <w:pPr>
        <w:keepNext/>
        <w:spacing w:before="180" w:after="40"/>
        <w:ind w:left="605" w:hanging="605"/>
      </w:pPr>
      <w:r>
        <w:rPr>
          <w:b/>
        </w:rPr>
        <w:t xml:space="preserve">L-11  </w:t>
      </w:r>
      <w:r>
        <w:t>Was Meridian ever given a copy of the ECIAA, and if so, when, by whom, and what was done with it?</w:t>
      </w:r>
    </w:p>
    <w:p>
      <w:pPr>
        <w:keepNext/>
        <w:spacing w:before="0" w:after="40"/>
        <w:ind w:left="1037"/>
      </w:pPr>
      <w:r>
        <w:rPr>
          <w:b/>
          <w:i/>
          <w:sz w:val="20"/>
        </w:rPr>
        <w:t xml:space="preserve">Source: </w:t>
      </w:r>
      <w:r>
        <w:rPr>
          <w:i/>
          <w:sz w:val="20"/>
        </w:rPr>
        <w:t>The ECIAA is pleaded as Exhibit E to the Complaint; Complaint ¶ 130 alleges Meridian's awareness of its terms.</w:t>
      </w:r>
    </w:p>
    <w:p>
      <w:pPr>
        <w:keepNext w:val="0"/>
        <w:spacing w:before="0" w:after="40"/>
        <w:ind w:left="1037"/>
      </w:pPr>
      <w:r>
        <w:rPr>
          <w:b/>
          <w:i/>
          <w:sz w:val="20"/>
        </w:rPr>
        <w:t xml:space="preserve">Evidentiary purpose: </w:t>
      </w:r>
      <w:r>
        <w:rPr>
          <w:i/>
          <w:sz w:val="20"/>
        </w:rPr>
        <w:t>A discrete, verifiable fact that either supports or defeats the knowledge element of ¶ 130, and that can be confirmed against onboarding files and email archives.</w:t>
      </w:r>
    </w:p>
    <w:p>
      <w:pPr>
        <w:keepNext/>
        <w:spacing w:before="180" w:after="40"/>
        <w:ind w:left="605" w:hanging="605"/>
      </w:pPr>
      <w:r>
        <w:rPr>
          <w:b/>
        </w:rPr>
        <w:t xml:space="preserve">L-12  </w:t>
      </w:r>
      <w:r>
        <w:t>Has any insurance policy been noticed, and does Meridian owe indemnities to PathForge customers that these allegations could trigger?</w:t>
      </w:r>
    </w:p>
    <w:p>
      <w:pPr>
        <w:keepNext/>
        <w:spacing w:before="0" w:after="40"/>
        <w:ind w:left="1037"/>
      </w:pPr>
      <w:r>
        <w:rPr>
          <w:b/>
          <w:i/>
          <w:sz w:val="20"/>
        </w:rPr>
        <w:t xml:space="preserve">Source: </w:t>
      </w:r>
      <w:r>
        <w:rPr>
          <w:i/>
          <w:sz w:val="20"/>
        </w:rPr>
        <w:t>Complaint ¶¶ 59 and 146 (in excess of $50 million in cumulative PathForge revenue) and the Prayer for Relief (injunctive relief against further making, using and selling, plus damages of no less than $25 million); white paper § 1 (over 60 commercial customers).</w:t>
      </w:r>
    </w:p>
    <w:p>
      <w:pPr>
        <w:keepNext w:val="0"/>
        <w:spacing w:before="0" w:after="40"/>
        <w:ind w:left="1037"/>
      </w:pPr>
      <w:r>
        <w:rPr>
          <w:b/>
          <w:i/>
          <w:sz w:val="20"/>
        </w:rPr>
        <w:t xml:space="preserve">Evidentiary purpose: </w:t>
      </w:r>
      <w:r>
        <w:rPr>
          <w:i/>
          <w:sz w:val="20"/>
        </w:rPr>
        <w:t>Not liability evidence, but it drives notice deadlines and customer-communication obligations that have their own timing consequences.</w:t>
      </w:r>
    </w:p>
    <w:p>
      <w:pPr>
        <w:pStyle w:val="Heading2"/>
      </w:pPr>
      <w:r>
        <w:t>B.  Matters Presumptively Protected — Handling Protocol</w:t>
      </w:r>
    </w:p>
    <w:p>
      <w:pPr>
        <w:spacing w:before="0" w:after="160"/>
        <w:ind w:left="0" w:firstLine="0"/>
      </w:pPr>
      <w:r>
        <w:rPr>
          <w:b w:val="0"/>
          <w:i w:val="0"/>
          <w:sz w:val="22"/>
        </w:rPr>
        <w:t>The following topics should be raised only to establish the threshold facts identified, and then stopped. Where the witness begins to disclose the substance of legal advice, counsel's requests, or counsel's mental impressions, the interviewer should note the topic for the privilege log and move on. The distinction to hold in mind is between the occurrence of an event (generally discoverable) and the content of a privileged communication about it (generally not).</w:t>
      </w:r>
    </w:p>
    <w:p>
      <w:pPr>
        <w:keepNext/>
        <w:spacing w:before="180" w:after="40"/>
        <w:ind w:left="605" w:hanging="605"/>
      </w:pPr>
      <w:r>
        <w:rPr>
          <w:b/>
        </w:rPr>
        <w:t xml:space="preserve">L-13  </w:t>
      </w:r>
      <w:r>
        <w:t>Has Meridian obtained any written opinion of counsel concerning the '561, '227 or '889 Patents, and if so, on what dates? Please do not describe its content.</w:t>
      </w:r>
    </w:p>
    <w:p>
      <w:pPr>
        <w:keepNext/>
        <w:spacing w:before="0" w:after="40"/>
        <w:ind w:left="1037"/>
      </w:pPr>
      <w:r>
        <w:rPr>
          <w:b/>
          <w:i/>
          <w:sz w:val="20"/>
        </w:rPr>
        <w:t xml:space="preserve">Source: </w:t>
      </w:r>
      <w:r>
        <w:rPr>
          <w:i/>
          <w:sz w:val="20"/>
        </w:rPr>
        <w:t>Complaint ¶¶ 69–70, 78 and 86 allege willful infringement based on Holt's asserted knowledge and on notice from the March 12, 2024 letter, and ¶ 70 adds that Meridian continued “without any apparent attempt to design around … or obtain a license”; the April 5, 2024 letter denies infringement and reserves invalidity and unenforceability defenses.</w:t>
      </w:r>
    </w:p>
    <w:p>
      <w:pPr>
        <w:keepNext w:val="0"/>
        <w:spacing w:before="0" w:after="40"/>
        <w:ind w:left="1037"/>
      </w:pPr>
      <w:r>
        <w:rPr>
          <w:b/>
          <w:i/>
          <w:sz w:val="20"/>
        </w:rPr>
        <w:t xml:space="preserve">Evidentiary purpose: </w:t>
      </w:r>
      <w:r>
        <w:rPr>
          <w:i/>
          <w:sz w:val="20"/>
        </w:rPr>
        <w:t>The existence and date of an opinion are threshold facts the partner needs in order to evaluate a possible advice-of-counsel defense. Electing that defense would waive privilege over the subject matter, so the content must not be explored in this interview and the election is the partner's decision, not the witness's.</w:t>
      </w:r>
    </w:p>
    <w:p>
      <w:pPr>
        <w:keepNext/>
        <w:spacing w:before="180" w:after="40"/>
        <w:ind w:left="605" w:hanging="605"/>
      </w:pPr>
      <w:r>
        <w:rPr>
          <w:b/>
        </w:rPr>
        <w:t xml:space="preserve">L-14  </w:t>
      </w:r>
      <w:r>
        <w:t>Has Meridian conducted or commissioned any technical comparison of PathForge against AeroCore, the patents-in-suit, or the deposited copyright material — and if so, when, by whom, and at whose direction?</w:t>
      </w:r>
    </w:p>
    <w:p>
      <w:pPr>
        <w:keepNext/>
        <w:spacing w:before="0" w:after="40"/>
        <w:ind w:left="1037"/>
      </w:pPr>
      <w:r>
        <w:rPr>
          <w:b/>
          <w:i/>
          <w:sz w:val="20"/>
        </w:rPr>
        <w:t xml:space="preserve">Source: </w:t>
      </w:r>
      <w:r>
        <w:rPr>
          <w:i/>
          <w:sz w:val="20"/>
        </w:rPr>
        <w:t>Complaint ¶¶ 116–119 (the copyright registration TX 9-142-338 covering AeroCore Firmware Suite v2.0, issued April 3, 2023, and the substantial-similarity allegation) and the claim chart following ¶ 67; the April 5, 2024 letter states that SkyVault's letter supplied no claim-by-claim analysis and that Meridian is “aware of none.”</w:t>
      </w:r>
    </w:p>
    <w:p>
      <w:pPr>
        <w:keepNext w:val="0"/>
        <w:spacing w:before="0" w:after="40"/>
        <w:ind w:left="1037"/>
      </w:pPr>
      <w:r>
        <w:rPr>
          <w:b/>
          <w:i/>
          <w:sz w:val="20"/>
        </w:rPr>
        <w:t xml:space="preserve">Evidentiary purpose: </w:t>
      </w:r>
      <w:r>
        <w:rPr>
          <w:i/>
          <w:sz w:val="20"/>
        </w:rPr>
        <w:t>Distinguishes protected litigation analysis from any ordinary-course engineering comparison, which may not be protected at all. Establish which category any such work falls into before it is described.</w:t>
      </w:r>
    </w:p>
    <w:p>
      <w:pPr>
        <w:keepNext/>
        <w:spacing w:before="180" w:after="40"/>
        <w:ind w:left="605" w:hanging="605"/>
      </w:pPr>
      <w:r>
        <w:rPr>
          <w:b/>
        </w:rPr>
        <w:t xml:space="preserve">L-15  </w:t>
      </w:r>
      <w:r>
        <w:t>Who supplied the factual predicates for the independent-development statement in the April 5, 2024 letter, and what documents were reviewed — identifying people and documents only, not counsel's analysis of them?</w:t>
      </w:r>
    </w:p>
    <w:p>
      <w:pPr>
        <w:keepNext/>
        <w:spacing w:before="0" w:after="40"/>
        <w:ind w:left="1037"/>
      </w:pPr>
      <w:r>
        <w:rPr>
          <w:b/>
          <w:i/>
          <w:sz w:val="20"/>
        </w:rPr>
        <w:t xml:space="preserve">Source: </w:t>
      </w:r>
      <w:r>
        <w:rPr>
          <w:i/>
          <w:sz w:val="20"/>
        </w:rPr>
        <w:t>The April 5, 2024 letter: “Meridian independently developed its PathForge platform through the efforts of its engineering teams”, together with its reservation of an independent-development defense.</w:t>
      </w:r>
    </w:p>
    <w:p>
      <w:pPr>
        <w:keepNext w:val="0"/>
        <w:spacing w:before="0" w:after="40"/>
        <w:ind w:left="1037"/>
      </w:pPr>
      <w:r>
        <w:rPr>
          <w:b/>
          <w:i/>
          <w:sz w:val="20"/>
        </w:rPr>
        <w:t xml:space="preserve">Evidentiary purpose: </w:t>
      </w:r>
      <w:r>
        <w:rPr>
          <w:i/>
          <w:sz w:val="20"/>
        </w:rPr>
        <w:t>Meridian has asserted independent development in writing. The identity of the people and documents behind that assertion is the roadmap for corroborating it; the reasoning behind it is protected. The phrasing of the question is what keeps the two apart.</w:t>
      </w:r>
    </w:p>
    <w:p>
      <w:pPr>
        <w:keepNext/>
        <w:spacing w:before="180" w:after="40"/>
        <w:ind w:left="605" w:hanging="605"/>
      </w:pPr>
      <w:r>
        <w:rPr>
          <w:b/>
        </w:rPr>
        <w:t xml:space="preserve">L-16  </w:t>
      </w:r>
      <w:r>
        <w:t>Has the question of separate counsel for Dr. Holt been evaluated, and does leadership understand that he faces potential individual exposure?</w:t>
      </w:r>
    </w:p>
    <w:p>
      <w:pPr>
        <w:keepNext/>
        <w:spacing w:before="0" w:after="40"/>
        <w:ind w:left="1037"/>
      </w:pPr>
      <w:r>
        <w:rPr>
          <w:b/>
          <w:i/>
          <w:sz w:val="20"/>
        </w:rPr>
        <w:t xml:space="preserve">Source: </w:t>
      </w:r>
      <w:r>
        <w:rPr>
          <w:i/>
          <w:sz w:val="20"/>
        </w:rPr>
        <w:t>Complaint Count VII (¶¶ 126–132) pleads breach of the ECIAA by Holt while seeking to hold Meridian liable for it, and Counts IV and V (¶¶ 94, 107) allege that Holt personally misappropriated the trade secrets; ECIAA §§ 8.1–8.3 provide for injunctive relief and fee-shifting against the employee; the April 5, 2024 letter responds on behalf of “Meridian and its officers and directors.”</w:t>
      </w:r>
    </w:p>
    <w:p>
      <w:pPr>
        <w:keepNext w:val="0"/>
        <w:spacing w:before="0" w:after="40"/>
        <w:ind w:left="1037"/>
      </w:pPr>
      <w:r>
        <w:rPr>
          <w:b/>
          <w:i/>
          <w:sz w:val="20"/>
        </w:rPr>
        <w:t xml:space="preserve">Evidentiary purpose: </w:t>
      </w:r>
      <w:r>
        <w:rPr>
          <w:i/>
          <w:sz w:val="20"/>
        </w:rPr>
        <w:t>This must be resolved before the Holt interview. Holt is both Meridian's CTO and the individual whose conduct is the subject of the claims; a conflict surfacing after his interview could compromise the privilege over it and the usability of everything he says. Upjohn warnings are necessary but may not be sufficient.</w:t>
      </w:r>
    </w:p>
    <w:p>
      <w:pPr>
        <w:keepNext/>
        <w:spacing w:before="180" w:after="40"/>
        <w:ind w:left="605" w:hanging="605"/>
      </w:pPr>
      <w:r>
        <w:rPr>
          <w:b/>
        </w:rPr>
        <w:t xml:space="preserve">L-17  </w:t>
      </w:r>
      <w:r>
        <w:t>Has the request that SkyVault not contact Meridian's officers and employees been communicated internally, and what protocol applies to former employees, who are outside that request?</w:t>
      </w:r>
    </w:p>
    <w:p>
      <w:pPr>
        <w:keepNext/>
        <w:spacing w:before="0" w:after="40"/>
        <w:ind w:left="1037"/>
      </w:pPr>
      <w:r>
        <w:rPr>
          <w:b/>
          <w:i/>
          <w:sz w:val="20"/>
        </w:rPr>
        <w:t xml:space="preserve">Source: </w:t>
      </w:r>
      <w:r>
        <w:rPr>
          <w:i/>
          <w:sz w:val="20"/>
        </w:rPr>
        <w:t>The April 5, 2024 letter (requesting that SkyVault and its counsel refrain from contacting Meridian's officers and employees directly and directing all correspondence to Brackwell &amp; Haines LLP).</w:t>
      </w:r>
    </w:p>
    <w:p>
      <w:pPr>
        <w:keepNext w:val="0"/>
        <w:spacing w:before="0" w:after="40"/>
        <w:ind w:left="1037"/>
      </w:pPr>
      <w:r>
        <w:rPr>
          <w:b/>
          <w:i/>
          <w:sz w:val="20"/>
        </w:rPr>
        <w:t xml:space="preserve">Evidentiary purpose: </w:t>
      </w:r>
      <w:r>
        <w:rPr>
          <w:i/>
          <w:sz w:val="20"/>
        </w:rPr>
        <w:t>Former employees are ordinarily reachable by opposing counsel. Knowing who they are, and whether any has already been approached, is both a witness-protection and an information-security question.</w:t>
      </w:r>
    </w:p>
    <w:p>
      <w:pPr>
        <w:keepNext/>
        <w:spacing w:before="180" w:after="40"/>
        <w:ind w:left="605" w:hanging="605"/>
      </w:pPr>
      <w:r>
        <w:rPr>
          <w:b/>
        </w:rPr>
        <w:t xml:space="preserve">L-18  </w:t>
      </w:r>
      <w:r>
        <w:t>Did any without-prejudice discussions in fact occur following the April 2024 exchange, and if so, when, with whom, and under what confidentiality terms?</w:t>
      </w:r>
    </w:p>
    <w:p>
      <w:pPr>
        <w:keepNext/>
        <w:spacing w:before="0" w:after="40"/>
        <w:ind w:left="1037"/>
      </w:pPr>
      <w:r>
        <w:rPr>
          <w:b/>
          <w:i/>
          <w:sz w:val="20"/>
        </w:rPr>
        <w:t xml:space="preserve">Source: </w:t>
      </w:r>
      <w:r>
        <w:rPr>
          <w:i/>
          <w:sz w:val="20"/>
        </w:rPr>
        <w:t>The April 5, 2024 letter (offering to “arrange a call or meeting at a mutually convenient time”, made “without prejudice” and “subject to applicable rules governing settlement communications”); Complaint ¶ 62 characterizes the response as a categorical refusal to comply with any demand.</w:t>
      </w:r>
    </w:p>
    <w:p>
      <w:pPr>
        <w:keepNext w:val="0"/>
        <w:spacing w:before="0" w:after="40"/>
        <w:ind w:left="1037"/>
      </w:pPr>
      <w:r>
        <w:rPr>
          <w:b/>
          <w:i/>
          <w:sz w:val="20"/>
        </w:rPr>
        <w:t xml:space="preserve">Evidentiary purpose: </w:t>
      </w:r>
      <w:r>
        <w:rPr>
          <w:i/>
          <w:sz w:val="20"/>
        </w:rPr>
        <w:t>Whether a settlement track ever opened is a fact the partner needs for posture and for scheduling. The content of any such discussion is separately protected and should not be explored here.</w:t>
      </w:r>
    </w:p>
    <w:p>
      <w:pPr>
        <w:pStyle w:val="Heading1"/>
      </w:pPr>
      <w:r>
        <w:t>VII.  Recommended Sequencing</w:t>
      </w:r>
    </w:p>
    <w:p>
      <w:pPr>
        <w:spacing w:before="0" w:after="120"/>
        <w:ind w:left="0" w:firstLine="0"/>
      </w:pPr>
      <w:r>
        <w:rPr>
          <w:b w:val="0"/>
          <w:i w:val="0"/>
          <w:sz w:val="22"/>
        </w:rPr>
        <w:t>We recommend interviewing Meridian's legal lead first, the technical team second, and Dr. Holt last, for reasons that are practical rather than formal. The legal lead should go first because that interview is the only one that can set the privilege perimeter before anyone generates a witness statement: it confirms that a litigation hold is in place and that auto-deletion has been suspended (L-2, L-4, T-20), produces the custodian and systems map the other two interviews depend on (L-9), and — most importantly — forces resolution of the separate-counsel question for Dr. Holt (L-16) before he sits, since a conflict surfacing afterward could compromise the privilege over his interview and the usability of everything he says. The technical team should go second because it is the records-bearing group: its answers convert assertions into artifacts — repository history and earliest commits (T-4, T-5), dependency manifests and the DroneNav question (T-6), a defensible search for the three named AeroCore file names and for SkyVault-origin strings (T-7, T-15), the search for the four claim-chart component names absent from the white paper we hold (T-12), and a practitioner's reading of the 4,700-file record and its time-zone and overlap problems (T-16, T-17, T-19). Those results are precisely the material against which Dr. Holt's recollection can be tested. He goes last because he is the only witness whose knowledge spans all six lead families and the only one who is personally the subject of the central allegations; his account should be taken against a documentary record already assembled rather than be allowed to define what we then go looking for, and the questions that matter most — the evening of February 8–9, 2018 (H-5), the eight-week pre-incorporation window (H-18), the eight distinct states of DroneNav use and non-use (H-37), and whether any SkyVault material ever reached Meridian (H-28) — can only be asked open-endedly once, and are worth far more when we can immediately test the answers. This order is not the only defensible one, and two contingencies would displace it: if the legal lead's interview reveals that no hold issued or that a relevant system is still deleting data, preservation triage takes priority over every scheduled interview; and if Dr. Holt retains separate counsel, we should take a limited, conflict-cleared preliminary session with him covering only device custody and preservation (H-6, H-11), and defer the substantive families until his counsel is in place.</w:t>
      </w:r>
    </w:p>
    <w:p>
      <w:pPr>
        <w:spacing w:before="0" w:after="120"/>
        <w:ind w:left="0" w:firstLine="0"/>
      </w:pPr>
    </w:p>
    <w:p>
      <w:pPr>
        <w:spacing w:before="0" w:after="120"/>
        <w:ind w:left="0" w:firstLine="0"/>
        <w:jc w:val="center"/>
      </w:pPr>
      <w:r>
        <w:rPr>
          <w:b w:val="0"/>
          <w:i/>
          <w:sz w:val="20"/>
        </w:rPr>
        <w:t>— End of memorandum —</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3341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