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A365D"/>
          <w:sz w:val="26"/>
        </w:rPr>
        <w:t>BRACKWELL &amp; HAINES LLP</w:t>
        <w:br/>
      </w:r>
      <w:r>
        <w:rPr>
          <w:rFonts w:ascii="Calibri" w:hAnsi="Calibri"/>
          <w:b/>
          <w:color w:val="1A365D"/>
          <w:sz w:val="32"/>
        </w:rPr>
        <w:t>CONFIDENTIAL LEGAL MEMORANDUM</w:t>
      </w:r>
    </w:p>
    <w:tbl>
      <w:tblPr>
        <w:tblW w:type="auto" w:w="0"/>
        <w:jc w:val="center"/>
        <w:tblLayout w:type="fixed"/>
        <w:tblLook w:firstColumn="1" w:firstRow="1" w:lastColumn="0" w:lastRow="0" w:noHBand="0" w:noVBand="1" w:val="04A0"/>
        <w:tblBorders>
          <w:top w:val="single" w:sz="6" w:space="0" w:color="1A365D"/>
          <w:bottom w:val="single" w:sz="6" w:space="0" w:color="1A365D"/>
          <w:insideH w:val="single" w:sz="4" w:space="0" w:color="1A365D"/>
          <w:insideV w:val="none"/>
          <w:left w:val="none"/>
          <w:right w:val="none"/>
        </w:tblBorders>
      </w:tblPr>
      <w:tblGrid>
        <w:gridCol w:w="1872"/>
        <w:gridCol w:w="7488"/>
      </w:tblGrid>
      <w:tr>
        <w:tc>
          <w:tcPr>
            <w:tcW w:type="dxa" w:w="4680"/>
            <w:tcMar>
              <w:top w:w="60" w:type="dxa"/>
              <w:bottom w:w="60" w:type="dxa"/>
              <w:left w:w="80" w:type="dxa"/>
              <w:right w:w="80" w:type="dxa"/>
            </w:tcMar>
          </w:tcPr>
          <w:p>
            <w:pPr>
              <w:spacing w:after="0"/>
            </w:pPr>
            <w:r>
              <w:rPr>
                <w:rFonts w:ascii="Calibri" w:hAnsi="Calibri"/>
                <w:b/>
                <w:color w:val="1A365D"/>
                <w:sz w:val="20"/>
              </w:rPr>
              <w:t>TO:</w:t>
            </w:r>
          </w:p>
        </w:tc>
        <w:tc>
          <w:tcPr>
            <w:tcW w:type="dxa" w:w="4680"/>
            <w:tcMar>
              <w:top w:w="60" w:type="dxa"/>
              <w:bottom w:w="60" w:type="dxa"/>
              <w:left w:w="80" w:type="dxa"/>
              <w:right w:w="80" w:type="dxa"/>
            </w:tcMar>
          </w:tcPr>
          <w:p>
            <w:pPr>
              <w:spacing w:after="0"/>
            </w:pPr>
            <w:r>
              <w:rPr>
                <w:rFonts w:ascii="Calibri" w:hAnsi="Calibri"/>
                <w:color w:val="2D3748"/>
                <w:sz w:val="20"/>
              </w:rPr>
              <w:t>Lead Litigation Partner, Intellectual Property Practice Group</w:t>
            </w:r>
          </w:p>
        </w:tc>
      </w:tr>
      <w:tr>
        <w:tc>
          <w:tcPr>
            <w:tcW w:type="dxa" w:w="4680"/>
            <w:tcMar>
              <w:top w:w="60" w:type="dxa"/>
              <w:bottom w:w="60" w:type="dxa"/>
              <w:left w:w="80" w:type="dxa"/>
              <w:right w:w="80" w:type="dxa"/>
            </w:tcMar>
          </w:tcPr>
          <w:p>
            <w:pPr>
              <w:spacing w:after="0"/>
            </w:pPr>
            <w:r>
              <w:rPr>
                <w:rFonts w:ascii="Calibri" w:hAnsi="Calibri"/>
                <w:b/>
                <w:color w:val="1A365D"/>
                <w:sz w:val="20"/>
              </w:rPr>
              <w:t>FROM:</w:t>
            </w:r>
          </w:p>
        </w:tc>
        <w:tc>
          <w:tcPr>
            <w:tcW w:type="dxa" w:w="4680"/>
            <w:tcMar>
              <w:top w:w="60" w:type="dxa"/>
              <w:bottom w:w="60" w:type="dxa"/>
              <w:left w:w="80" w:type="dxa"/>
              <w:right w:w="80" w:type="dxa"/>
            </w:tcMar>
          </w:tcPr>
          <w:p>
            <w:pPr>
              <w:spacing w:after="0"/>
            </w:pPr>
            <w:r>
              <w:rPr>
                <w:rFonts w:ascii="Calibri" w:hAnsi="Calibri"/>
                <w:color w:val="2D3748"/>
                <w:sz w:val="20"/>
              </w:rPr>
              <w:t>Special IP Litigation &amp; Internal Factual Investigation Team</w:t>
            </w:r>
          </w:p>
        </w:tc>
      </w:tr>
      <w:tr>
        <w:tc>
          <w:tcPr>
            <w:tcW w:type="dxa" w:w="4680"/>
            <w:tcMar>
              <w:top w:w="60" w:type="dxa"/>
              <w:bottom w:w="60" w:type="dxa"/>
              <w:left w:w="80" w:type="dxa"/>
              <w:right w:w="80" w:type="dxa"/>
            </w:tcMar>
          </w:tcPr>
          <w:p>
            <w:pPr>
              <w:spacing w:after="0"/>
            </w:pPr>
            <w:r>
              <w:rPr>
                <w:rFonts w:ascii="Calibri" w:hAnsi="Calibri"/>
                <w:b/>
                <w:color w:val="1A365D"/>
                <w:sz w:val="20"/>
              </w:rPr>
              <w:t>DATE:</w:t>
            </w:r>
          </w:p>
        </w:tc>
        <w:tc>
          <w:tcPr>
            <w:tcW w:type="dxa" w:w="4680"/>
            <w:tcMar>
              <w:top w:w="60" w:type="dxa"/>
              <w:bottom w:w="60" w:type="dxa"/>
              <w:left w:w="80" w:type="dxa"/>
              <w:right w:w="80" w:type="dxa"/>
            </w:tcMar>
          </w:tcPr>
          <w:p>
            <w:pPr>
              <w:spacing w:after="0"/>
            </w:pPr>
            <w:r>
              <w:rPr>
                <w:rFonts w:ascii="Calibri" w:hAnsi="Calibri"/>
                <w:color w:val="2D3748"/>
                <w:sz w:val="20"/>
              </w:rPr>
              <w:t>October 14, 2024</w:t>
            </w:r>
          </w:p>
        </w:tc>
      </w:tr>
      <w:tr>
        <w:tc>
          <w:tcPr>
            <w:tcW w:type="dxa" w:w="4680"/>
            <w:tcMar>
              <w:top w:w="60" w:type="dxa"/>
              <w:bottom w:w="60" w:type="dxa"/>
              <w:left w:w="80" w:type="dxa"/>
              <w:right w:w="80" w:type="dxa"/>
            </w:tcMar>
          </w:tcPr>
          <w:p>
            <w:pPr>
              <w:spacing w:after="0"/>
            </w:pPr>
            <w:r>
              <w:rPr>
                <w:rFonts w:ascii="Calibri" w:hAnsi="Calibri"/>
                <w:b/>
                <w:color w:val="1A365D"/>
                <w:sz w:val="20"/>
              </w:rPr>
              <w:t>RE:</w:t>
            </w:r>
          </w:p>
        </w:tc>
        <w:tc>
          <w:tcPr>
            <w:tcW w:type="dxa" w:w="4680"/>
            <w:tcMar>
              <w:top w:w="60" w:type="dxa"/>
              <w:bottom w:w="60" w:type="dxa"/>
              <w:left w:w="80" w:type="dxa"/>
              <w:right w:w="80" w:type="dxa"/>
            </w:tcMar>
          </w:tcPr>
          <w:p>
            <w:pPr>
              <w:spacing w:after="0"/>
            </w:pPr>
            <w:r>
              <w:rPr>
                <w:rFonts w:ascii="Calibri" w:hAnsi="Calibri"/>
                <w:b/>
                <w:color w:val="2D3748"/>
                <w:sz w:val="20"/>
              </w:rPr>
              <w:t>Privileged Witness-Interview Outline and Fact-Finding Investigation Plan: SkyVault Technologies LLC v. Meridian Dynamics, Inc., Civil Action No. 2:24-cv-00817-JRG (E.D. Tex.)</w:t>
            </w:r>
          </w:p>
        </w:tc>
      </w:tr>
      <w:tr>
        <w:tc>
          <w:tcPr>
            <w:tcW w:type="dxa" w:w="4680"/>
            <w:tcMar>
              <w:top w:w="60" w:type="dxa"/>
              <w:bottom w:w="60" w:type="dxa"/>
              <w:left w:w="80" w:type="dxa"/>
              <w:right w:w="80" w:type="dxa"/>
            </w:tcMar>
          </w:tcPr>
          <w:p>
            <w:pPr>
              <w:spacing w:after="0"/>
            </w:pPr>
            <w:r>
              <w:rPr>
                <w:rFonts w:ascii="Calibri" w:hAnsi="Calibri"/>
                <w:b/>
                <w:color w:val="1A365D"/>
                <w:sz w:val="20"/>
              </w:rPr>
              <w:t>PRIVILEGE:</w:t>
            </w:r>
          </w:p>
        </w:tc>
        <w:tc>
          <w:tcPr>
            <w:tcW w:type="dxa" w:w="4680"/>
            <w:tcMar>
              <w:top w:w="60" w:type="dxa"/>
              <w:bottom w:w="60" w:type="dxa"/>
              <w:left w:w="80" w:type="dxa"/>
              <w:right w:w="80" w:type="dxa"/>
            </w:tcMar>
          </w:tcPr>
          <w:p>
            <w:pPr>
              <w:spacing w:after="0"/>
            </w:pPr>
            <w:r>
              <w:rPr>
                <w:rFonts w:ascii="Calibri" w:hAnsi="Calibri"/>
                <w:b/>
                <w:color w:val="9B2C2C"/>
                <w:sz w:val="20"/>
              </w:rPr>
              <w:t>ATTORNEY WORK PRODUCT // ATTORNEY-CLIENT PRIVILEGED // PREPARED IN ANTICIPATION OF LITIGATION</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EDF2F7"/>
            <w:tcBorders>
              <w:top w:val="none"/>
              <w:left w:val="single" w:sz="36" w:space="0" w:color="1A365D"/>
              <w:bottom w:val="none"/>
              <w:right w:val="none"/>
            </w:tcBorders>
            <w:tcMar>
              <w:top w:w="140" w:type="dxa"/>
              <w:bottom w:w="140" w:type="dxa"/>
              <w:left w:w="180" w:type="dxa"/>
              <w:right w:w="180" w:type="dxa"/>
            </w:tcMar>
          </w:tcPr>
          <w:p>
            <w:pPr>
              <w:spacing w:before="0" w:after="0" w:line="276" w:lineRule="auto"/>
            </w:pPr>
            <w:r>
              <w:rPr>
                <w:rFonts w:ascii="Calibri" w:hAnsi="Calibri"/>
                <w:b/>
                <w:color w:val="1A365D"/>
                <w:sz w:val="20"/>
              </w:rPr>
              <w:t xml:space="preserve">MANDATORY INVESTIGATION BOUNDARY &amp; PRIVILEGE PROTOCOL: </w:t>
            </w:r>
            <w:r>
              <w:rPr>
                <w:rFonts w:ascii="Calibri" w:hAnsi="Calibri"/>
                <w:i/>
                <w:color w:val="2D3748"/>
                <w:sz w:val="20"/>
              </w:rPr>
              <w:t>ATTORNEY WORK PRODUCT // STRICTLY CONFIDENTIAL // SUBJECT TO ATTORNEY-CLIENT PRIVILEGE. This memorandum sets forth an internal witness-interview design and factual investigation strategy prepared by outside litigation counsel for Meridian Dynamics, Inc. in response to the complaint filed by SkyVault Technologies LLC on October 2, 2024. This document is strictly an interview outline and preparation guide. It does NOT constitute completed witness depositions, formal responsive pleadings, patent infringement/invalidity contentions, settlement correspondence, or a final substantive opinion on the merits. All factual hypotheses herein must be tested against documentary evidence and witness confirmation.</w:t>
            </w:r>
          </w:p>
        </w:tc>
      </w:tr>
    </w:tbl>
    <w:p>
      <w:pPr>
        <w:spacing w:before="0" w:after="80"/>
      </w:pPr>
    </w:p>
    <w:p>
      <w:pPr>
        <w:keepNext/>
        <w:spacing w:before="320" w:after="120"/>
      </w:pPr>
      <w:r>
        <w:rPr>
          <w:rFonts w:ascii="Calibri" w:hAnsi="Calibri"/>
          <w:b/>
          <w:color w:val="1A365D"/>
          <w:sz w:val="28"/>
        </w:rPr>
        <w:t>SECTION I: INVESTIGATIVE CONTEXT, EVIDENTIARY BOUNDARIES, AND METHODOLOGICAL FRAMEWORK</w:t>
      </w:r>
    </w:p>
    <w:p>
      <w:pPr>
        <w:keepNext/>
        <w:spacing w:before="240" w:after="80"/>
      </w:pPr>
      <w:r>
        <w:rPr>
          <w:rFonts w:ascii="Calibri" w:hAnsi="Calibri"/>
          <w:b/>
          <w:color w:val="2B6CB0"/>
          <w:sz w:val="24"/>
        </w:rPr>
        <w:t>1.1 Procedural Posture, Investigative Purpose, and Scope Boundaries</w:t>
      </w:r>
    </w:p>
    <w:p>
      <w:pPr>
        <w:spacing w:before="0" w:after="120" w:line="276" w:lineRule="auto"/>
      </w:pPr>
      <w:r>
        <w:rPr>
          <w:rFonts w:ascii="Calibri" w:hAnsi="Calibri"/>
          <w:color w:val="2D3748"/>
          <w:sz w:val="21"/>
        </w:rPr>
        <w:t>On October 2, 2024, SkyVault Technologies LLC ('SkyVault') initiated a multi-count intellectual property lawsuit against Meridian Dynamics, Inc. ('Meridian') in the United States District Court for the Eastern District of Texas, Marshall Division (Civil Action No. 2:24-cv-00817-JRG). The Complaint asserts nine causes of action: infringement of three United States utility patents (U.S. Patent Nos. 10,234,561; 10,891,227; and 11,402,889); trade secret misappropriation under both the Defend Trade Secrets Act (18 U.S.C. § 1836) and the Texas Uniform Trade Secrets Act (Tex. Civ. Prac. &amp; Rem. Code § 134A.001 et seq.); copyright infringement of SkyVault's AeroCore Firmware Suite under 17 U.S.C. § 501; breach of an Employee Confidentiality and Invention Assignment Agreement ('ECIAA') entered into by Dr. Marcus Holt; unjust enrichment; and common law unfair competition. Notably, while Dr. Marcus Holt is the focal actor across SkyVault's substantive allegations, Meridian Dynamics, Inc. is named as the sole corporate defendant.</w:t>
      </w:r>
    </w:p>
    <w:p>
      <w:pPr>
        <w:spacing w:before="0" w:after="120" w:line="276" w:lineRule="auto"/>
      </w:pPr>
      <w:r>
        <w:rPr>
          <w:rFonts w:ascii="Calibri" w:hAnsi="Calibri"/>
          <w:color w:val="2D3748"/>
          <w:sz w:val="21"/>
        </w:rPr>
        <w:t>This litigation follows an exchange of pre-suit correspondence in the spring of 2024. Specifically, on March 12, 2024, SkyVault's litigation counsel, Callister, Voss &amp; Greenbaum LLP, transmitted a cease-and-desist letter to Meridian's Chief Executive Officer, Priya Chandrasekaran, demanding the immediate cessation of commercial operations regarding Meridian's PathForge platform, the payment of a $15 million licensing fee, and unfettered access to Meridian's proprietary source code repositories for a forensic audit. On April 5, 2024, Meridian's outside counsel, Laura Brackwell of Brackwell &amp; Haines LLP, issued a formal response letter denying all claims of patent infringement, trade secret misappropriation, and copyright infringement, declining each of SkyVault's demands as legally and factually unsupported, asserting that PathForge was developed independently, and reserving all rights and defenses.</w:t>
      </w:r>
    </w:p>
    <w:p>
      <w:pPr>
        <w:spacing w:before="0" w:after="120" w:line="276" w:lineRule="auto"/>
      </w:pPr>
      <w:r>
        <w:rPr>
          <w:rFonts w:ascii="Calibri" w:hAnsi="Calibri"/>
          <w:color w:val="2D3748"/>
          <w:sz w:val="21"/>
        </w:rPr>
        <w:t>To properly prepare Meridian's defense, develop responsive pleadings, evaluate early motion-to-dismiss and transfer opportunities, and formulate a robust discovery plan, the handling partner has directed the litigation team to conduct an internal, privileged factual investigation. The explicit mandate of this memorandum is to design a comprehensive witness interview outline. This document establishes what questions to ask key witnesses, the evidentiary and legal significance of each question, and the precise factual leads derived from the five case materials currently provided. Counsel must strictly observe that this memorandum is an investigative blueprint—not a completed deposition transcript, pleading, infringement contention chart, settlement communication, or substantive merits opinion.</w:t>
      </w:r>
    </w:p>
    <w:p>
      <w:pPr>
        <w:keepNext/>
        <w:spacing w:before="240" w:after="80"/>
      </w:pPr>
      <w:r>
        <w:rPr>
          <w:rFonts w:ascii="Calibri" w:hAnsi="Calibri"/>
          <w:b/>
          <w:color w:val="2B6CB0"/>
          <w:sz w:val="24"/>
        </w:rPr>
        <w:t>1.2 Strict Evaluation of the Evidentiary Scope and Limits of Supplied Materials</w:t>
      </w:r>
    </w:p>
    <w:p>
      <w:pPr>
        <w:spacing w:before="0" w:after="120" w:line="276" w:lineRule="auto"/>
      </w:pPr>
      <w:r>
        <w:rPr>
          <w:rFonts w:ascii="Calibri" w:hAnsi="Calibri"/>
          <w:b/>
          <w:color w:val="2D3748"/>
          <w:sz w:val="21"/>
        </w:rPr>
        <w:t xml:space="preserve">Evidentiary Precaution: </w:t>
      </w:r>
      <w:r>
        <w:rPr>
          <w:rFonts w:ascii="Calibri" w:hAnsi="Calibri"/>
          <w:color w:val="2D3748"/>
          <w:sz w:val="21"/>
        </w:rPr>
        <w:t>A foundational principle of this investigation is that counsel must rigorously evaluate the actual legal and evidentiary weight of each material provided in the initial case file. No document may be accepted at face value, and no allegation, assertion, or selective extract may be treated as an established fact. Counsel must operate under the following evidentiary boundaries:</w:t>
      </w:r>
    </w:p>
    <w:p>
      <w:pPr>
        <w:spacing w:before="0" w:after="120" w:line="276" w:lineRule="auto"/>
      </w:pPr>
      <w:r>
        <w:rPr>
          <w:rFonts w:ascii="Calibri" w:hAnsi="Calibri"/>
          <w:b/>
          <w:color w:val="2D3748"/>
          <w:sz w:val="21"/>
        </w:rPr>
        <w:t xml:space="preserve">1. SkyVault Complaint (skyvault-complaint.docx): </w:t>
      </w:r>
      <w:r>
        <w:rPr>
          <w:rFonts w:ascii="Calibri" w:hAnsi="Calibri"/>
          <w:color w:val="2D3748"/>
          <w:sz w:val="21"/>
        </w:rPr>
        <w:t>The Complaint represents unverified, adversarial assertions and litigation theories drafted by SkyVault's advocates. Pleading allegations—including assertions that Dr. Holt 'misappropriated' files, that PathForge 'mirrors' AeroCore, that Meridian 'induced' a breach of contract, or that trade secrets were 'first discovered' in July 2022—are formal claims that SkyVault carries the burden of proving under applicable federal and state standards. They do not constitute evidence.</w:t>
      </w:r>
    </w:p>
    <w:p>
      <w:pPr>
        <w:spacing w:before="0" w:after="120" w:line="276" w:lineRule="auto"/>
      </w:pPr>
      <w:r>
        <w:rPr>
          <w:rFonts w:ascii="Calibri" w:hAnsi="Calibri"/>
          <w:b/>
          <w:color w:val="2D3748"/>
          <w:sz w:val="21"/>
        </w:rPr>
        <w:t xml:space="preserve">2. Meridian Pre-Suit Response Letter (meridian-cd-response.docx): </w:t>
      </w:r>
      <w:r>
        <w:rPr>
          <w:rFonts w:ascii="Calibri" w:hAnsi="Calibri"/>
          <w:color w:val="2D3748"/>
          <w:sz w:val="21"/>
        </w:rPr>
        <w:t>The April 5, 2024 letter represents outside counsel's pre-suit defensive posture and legal advocacy. While it formally articulates Meridian's positions—including categorical denials of infringement, assertions of independent development by Meridian engineering teams, and maintenance of robust compliance procedures—these statements are party contentions. They must be empirically substantiated through witness interviews, repository commit logs, and internal corporate records before they can be deployed as verified trial evidence.</w:t>
      </w:r>
    </w:p>
    <w:p>
      <w:pPr>
        <w:spacing w:before="0" w:after="120" w:line="276" w:lineRule="auto"/>
      </w:pPr>
      <w:r>
        <w:rPr>
          <w:rFonts w:ascii="Calibri" w:hAnsi="Calibri"/>
          <w:b/>
          <w:color w:val="2D3748"/>
          <w:sz w:val="21"/>
        </w:rPr>
        <w:t xml:space="preserve">3. PathForge White Paper Excerpt (pathforge-whitepaper-excerpt.docx): </w:t>
      </w:r>
      <w:r>
        <w:rPr>
          <w:rFonts w:ascii="Calibri" w:hAnsi="Calibri"/>
          <w:color w:val="2D3748"/>
          <w:sz w:val="21"/>
        </w:rPr>
        <w:t>The white paper excerpt is a public marketing and technical overview published in July 2022. It represents an excerpt of a stated 42-page technical document, omitting Section 6 (hardware integration specifications) and technical appendices. While it outlines high-level architectural concepts and marketing-oriented performance benchmarks, marketing descriptions frequently employ commercial puffery or simplified conceptual diagrams that diverge from actual low-level source code implementations. It cannot be treated as an admission of literal claim correspondence or as a complete technical blueprint of PathForge.</w:t>
      </w:r>
    </w:p>
    <w:p>
      <w:pPr>
        <w:spacing w:before="0" w:after="120" w:line="276" w:lineRule="auto"/>
      </w:pPr>
      <w:r>
        <w:rPr>
          <w:rFonts w:ascii="Calibri" w:hAnsi="Calibri"/>
          <w:b/>
          <w:color w:val="2D3748"/>
          <w:sz w:val="21"/>
        </w:rPr>
        <w:t xml:space="preserve">4. Holt Employment Agreement and Invention Assignment (holt-eciaa-agreement.docx): </w:t>
      </w:r>
      <w:r>
        <w:rPr>
          <w:rFonts w:ascii="Calibri" w:hAnsi="Calibri"/>
          <w:color w:val="2D3748"/>
          <w:sz w:val="21"/>
        </w:rPr>
        <w:t>The ECIAA is an executed contract dated June 13, 2016, governing confidentiality and invention assignment between SkyVault and Dr. Holt. While the agreement establishes legal obligations—including perpetual trade secret protection, a 3-year confidentiality term for other confidential information (which expired on February 16, 2021), and a 12-month employee non-solicitation covenant (which expired on February 16, 2019)—the existence of the contract does not prove that Dr. Holt breached any covenant, that SkyVault's asserted information qualifies as legally protectable trade secrets, or that inventions developed at Meridian fall within its assignment scope. Furthermore, Exhibit A documents contractually acknowledged Prior Inventions that are expressly excluded from SkyVault's ownership.</w:t>
      </w:r>
    </w:p>
    <w:p>
      <w:pPr>
        <w:spacing w:before="0" w:after="120" w:line="276" w:lineRule="auto"/>
      </w:pPr>
      <w:r>
        <w:rPr>
          <w:rFonts w:ascii="Calibri" w:hAnsi="Calibri"/>
          <w:b/>
          <w:color w:val="2D3748"/>
          <w:sz w:val="21"/>
        </w:rPr>
        <w:t xml:space="preserve">5. SkyVault IT Forensic Log Extract (exhibit-f-forensic-log.xlsx): </w:t>
      </w:r>
      <w:r>
        <w:rPr>
          <w:rFonts w:ascii="Calibri" w:hAnsi="Calibri"/>
          <w:color w:val="2D3748"/>
          <w:sz w:val="21"/>
        </w:rPr>
        <w:t>Exhibit F is a selective extract containing exactly 50 forensic events chosen from a total review population of 12,847 audit log events recorded between January 1, 2018, and February 28, 2018. The report was prepared by Hargrove Forensics Group on March 5, 2018, specifically for SkyVault's litigation counsel. This document reflects SkyVault's internal IT server logs and unilateral HR incident notes. It does not establish that Dr. Holt acted with unlawful intent, that the downloaded Confluence pages contained valid trade secrets, that the physical USB media was retained or accessed after Dr. Holt's departure, or that any downloaded data was ever transferred to, disclosed to, or utilized by Meridian Dynamics. Crucially, the remaining 12,797 events from the full review population have been omitted.</w:t>
      </w:r>
    </w:p>
    <w:p>
      <w:pPr>
        <w:spacing w:before="0" w:after="120" w:line="276" w:lineRule="auto"/>
      </w:pPr>
      <w:r>
        <w:rPr>
          <w:rFonts w:ascii="Calibri" w:hAnsi="Calibri"/>
          <w:b/>
          <w:color w:val="2D3748"/>
          <w:sz w:val="21"/>
        </w:rPr>
        <w:t xml:space="preserve">6. Unprovided March 12, 2024 Cease-and-Desist Letter: </w:t>
      </w:r>
      <w:r>
        <w:rPr>
          <w:rFonts w:ascii="Calibri" w:hAnsi="Calibri"/>
          <w:color w:val="2D3748"/>
          <w:sz w:val="21"/>
        </w:rPr>
        <w:t>SkyVault's underlying March 12, 2024 cease-and-desist letter was NOT provided in the case materials. Counsel must strictly adhere to the mandate that no facts, demands, or assertions may be attributed to the March 12 correspondence beyond what is expressly documented in Complaint paragraph 61 and Meridian's April 5, 2024 response letter. Specifically, the record reflects only that the letter identified the '561, '227, and '889 patents, asserted trade secret and copyright claims, and demanded commercial cessation, a $15 million license fee, and a source code audit, without providing any claim charts or technical substantiation.</w:t>
      </w:r>
    </w:p>
    <w:p>
      <w:pPr>
        <w:keepNext/>
        <w:spacing w:before="240" w:after="80"/>
      </w:pPr>
      <w:r>
        <w:rPr>
          <w:rFonts w:ascii="Calibri" w:hAnsi="Calibri"/>
          <w:b/>
          <w:color w:val="2B6CB0"/>
          <w:sz w:val="24"/>
        </w:rPr>
        <w:t>1.3 Integration of the Six Mandatory Lead Families</w:t>
      </w:r>
    </w:p>
    <w:p>
      <w:pPr>
        <w:spacing w:before="0" w:after="120" w:line="276" w:lineRule="auto"/>
      </w:pPr>
      <w:r>
        <w:rPr>
          <w:rFonts w:ascii="Calibri" w:hAnsi="Calibri"/>
          <w:color w:val="2D3748"/>
          <w:sz w:val="21"/>
        </w:rPr>
        <w:t>To ensure comprehensive coverage and seamless cross-examination potential, all interview questions across each witness category must integrate and bridge at least six central lead families identified from the source materials:</w:t>
      </w:r>
    </w:p>
    <w:p>
      <w:pPr>
        <w:spacing w:before="0" w:after="120" w:line="276" w:lineRule="auto"/>
      </w:pPr>
      <w:r>
        <w:rPr>
          <w:rFonts w:ascii="Calibri" w:hAnsi="Calibri"/>
          <w:b/>
          <w:color w:val="2D3748"/>
          <w:sz w:val="21"/>
        </w:rPr>
        <w:t xml:space="preserve">Lead Family 1: Dr. Holt's Employment and Access History at SkyVault: </w:t>
      </w:r>
      <w:r>
        <w:rPr>
          <w:rFonts w:ascii="Calibri" w:hAnsi="Calibri"/>
          <w:color w:val="2D3748"/>
          <w:sz w:val="21"/>
        </w:rPr>
        <w:t>Encompasses Dr. Holt's hire date (June 13, 2016), job duties reporting to CEO Dr. Rajan Mehta, daily access to Confluence spaces (/SensorFusion/, /FlightPath/, /SwarmProtocol/, /HardwareIntegration/, /Business/CustomerData/), workstation SV-ENG-WS-014, the February 2018 bulk exports (Rows 27-32), the February 8/9, 2018 USB connection and file copy alert (Rows 33-35), access revocations on February 13, 2018 (Rows 41-44), the exit interview with HR Director K. Patel on February 15, 2018 (Row 46), laptop retention, and formal separation on February 16, 2018.</w:t>
      </w:r>
    </w:p>
    <w:p>
      <w:pPr>
        <w:spacing w:before="0" w:after="120" w:line="276" w:lineRule="auto"/>
      </w:pPr>
      <w:r>
        <w:rPr>
          <w:rFonts w:ascii="Calibri" w:hAnsi="Calibri"/>
          <w:b/>
          <w:color w:val="2D3748"/>
          <w:sz w:val="21"/>
        </w:rPr>
        <w:t xml:space="preserve">Lead Family 2: Dr. Holt's Disclosed Prior Work and Academic Baseline: </w:t>
      </w:r>
      <w:r>
        <w:rPr>
          <w:rFonts w:ascii="Calibri" w:hAnsi="Calibri"/>
          <w:color w:val="2D3748"/>
          <w:sz w:val="21"/>
        </w:rPr>
        <w:t>Encompasses Dr. Holt's educational background (PhD in Robotics from Georgia Tech, 2015), the two Prior Inventions explicitly disclosed and excluded in Exhibit A of the ECIAA ('Autonomous Ground Vehicle Path Planning Algorithm' and 'RoboNav Sensor Calibration Toolkit' published on GitHub under MIT License), and the general skills, knowledge, and experience carved out under ECIAA Section 3.4.</w:t>
      </w:r>
    </w:p>
    <w:p>
      <w:pPr>
        <w:spacing w:before="0" w:after="120" w:line="276" w:lineRule="auto"/>
      </w:pPr>
      <w:r>
        <w:rPr>
          <w:rFonts w:ascii="Calibri" w:hAnsi="Calibri"/>
          <w:b/>
          <w:color w:val="2D3748"/>
          <w:sz w:val="21"/>
        </w:rPr>
        <w:t xml:space="preserve">Lead Family 3: PathForge's Development Starting Point and Architecture: </w:t>
      </w:r>
      <w:r>
        <w:rPr>
          <w:rFonts w:ascii="Calibri" w:hAnsi="Calibri"/>
          <w:color w:val="2D3748"/>
          <w:sz w:val="21"/>
        </w:rPr>
        <w:t>Encompasses Meridian's founding timeline (incorporation on April 11, 2018, by Priya Chandrasekaran and Dr. Holt), the technical inception of PathForge from first principles, and the distinct, phased development cycles across independent modules: Multi-Sensor Fusion (Q3 2018 - Q4 2019), GPS-Denied Navigation (Q1 2019 - Q3 2020), Swarm Coordination (Q2 2019 - Q1 2021), commercial launch in September 2020, and the modular independence of the Navigation Module, Swarm Module, Analytics Dashboard, and Hardware Integration Layer.</w:t>
      </w:r>
    </w:p>
    <w:p>
      <w:pPr>
        <w:spacing w:before="0" w:after="120" w:line="276" w:lineRule="auto"/>
      </w:pPr>
      <w:r>
        <w:rPr>
          <w:rFonts w:ascii="Calibri" w:hAnsi="Calibri"/>
          <w:b/>
          <w:color w:val="2D3748"/>
          <w:sz w:val="21"/>
        </w:rPr>
        <w:t xml:space="preserve">Lead Family 4: White Paper Title, Authorship, and Representation Discrepancies: </w:t>
      </w:r>
      <w:r>
        <w:rPr>
          <w:rFonts w:ascii="Calibri" w:hAnsi="Calibri"/>
          <w:color w:val="2D3748"/>
          <w:sz w:val="21"/>
        </w:rPr>
        <w:t>Encompasses the July 2022 technical white paper excerpt titled 'PathForge: Next-Generation Autonomous Navigation,' authored by Dr. Marcus Holt and the PathForge Engineering Team; its commercial/marketing character; the omission of Section 6 and appendices; and the significant textual and structural discrepancies between SkyVault's preliminary claim chart in Complaint Table 1 (citing non-existent sections such as 'Section 4.1 Threat Assessment Module' and 'Section 5.1 Flight Controller API') and the actual white paper text.</w:t>
      </w:r>
    </w:p>
    <w:p>
      <w:pPr>
        <w:spacing w:before="0" w:after="120" w:line="276" w:lineRule="auto"/>
      </w:pPr>
      <w:r>
        <w:rPr>
          <w:rFonts w:ascii="Calibri" w:hAnsi="Calibri"/>
          <w:b/>
          <w:color w:val="2D3748"/>
          <w:sz w:val="21"/>
        </w:rPr>
        <w:t xml:space="preserve">Lead Family 5: DroneNav and Other Public Academic / Open-Source Sources: </w:t>
      </w:r>
      <w:r>
        <w:rPr>
          <w:rFonts w:ascii="Calibri" w:hAnsi="Calibri"/>
          <w:color w:val="2D3748"/>
          <w:sz w:val="21"/>
        </w:rPr>
        <w:t>Encompasses published literature and open-source projects foundational to autonomous navigation, specifically Dr. Elena Vasquez's 2016 IEEE paper on multi-sensor fusion, the DroneNav GitHub project (first committed August 15, 2017), Nakamura &amp; Okonkwo (2015), and Ferreira et al. (2016). Counsel must examine each public source across eight distinct operational modes: awareness, citation, evaluation, cloning, dependency inclusion, modification, use, and non-use.</w:t>
      </w:r>
    </w:p>
    <w:p>
      <w:pPr>
        <w:spacing w:before="0" w:after="120" w:line="276" w:lineRule="auto"/>
      </w:pPr>
      <w:r>
        <w:rPr>
          <w:rFonts w:ascii="Calibri" w:hAnsi="Calibri"/>
          <w:b/>
          <w:color w:val="2D3748"/>
          <w:sz w:val="21"/>
        </w:rPr>
        <w:t xml:space="preserve">Lead Family 6: Pre-Suit Correspondence Chain and Procedural Milestones: </w:t>
      </w:r>
      <w:r>
        <w:rPr>
          <w:rFonts w:ascii="Calibri" w:hAnsi="Calibri"/>
          <w:color w:val="2D3748"/>
          <w:sz w:val="21"/>
        </w:rPr>
        <w:t>Encompasses the receipt, internal routing, and handling of SkyVault's March 12, 2024 C&amp;D letter; Meridian's formal response letter of April 5, 2024 (authored by Laura Brackwell and cc'ing VP of Legal Jordan Kessler); the absence of claim charts or technical proof from SkyVault; the six-month pre-suit silence before the October 2, 2024 Complaint; and SkyVault's extraordinary six-year delay between the March 5, 2018 forensic report and formal assertion of claims, bearing directly on laches and statute of limitations defenses under TUTSA and DTSA.</w:t>
      </w:r>
    </w:p>
    <w:p>
      <w:pPr>
        <w:keepNext/>
        <w:spacing w:before="240" w:after="80"/>
      </w:pPr>
      <w:r>
        <w:rPr>
          <w:rFonts w:ascii="Calibri" w:hAnsi="Calibri"/>
          <w:b/>
          <w:color w:val="2B6CB0"/>
          <w:sz w:val="24"/>
        </w:rPr>
        <w:t>1.4 Conversion of Missing Records into Affirmative Investigation Inquiries</w:t>
      </w:r>
    </w:p>
    <w:p>
      <w:pPr>
        <w:spacing w:before="0" w:after="120" w:line="276" w:lineRule="auto"/>
      </w:pPr>
      <w:r>
        <w:rPr>
          <w:rFonts w:ascii="Calibri" w:hAnsi="Calibri"/>
          <w:b/>
          <w:color w:val="2D3748"/>
          <w:sz w:val="21"/>
        </w:rPr>
        <w:t xml:space="preserve">Methodological Directive: </w:t>
      </w:r>
      <w:r>
        <w:rPr>
          <w:rFonts w:ascii="Calibri" w:hAnsi="Calibri"/>
          <w:color w:val="2D3748"/>
          <w:sz w:val="21"/>
        </w:rPr>
        <w:t>The five materials provided represent a highly restricted documentary universe. Critical categories of operational, engineering, and personnel evidence are entirely absent from the file. In accordance with strict investigative standards, counsel must NOT presume that unprovided documents support SkyVault's claims or substantiate Meridian's defenses. Instead, all missing records must be converted into affirmative interview verification questions and targeted document collection tasks. These missing categories include:</w:t>
      </w:r>
    </w:p>
    <w:p>
      <w:pPr>
        <w:spacing w:before="0" w:after="120" w:line="276" w:lineRule="auto"/>
      </w:pPr>
      <w:r>
        <w:rPr>
          <w:rFonts w:ascii="Calibri" w:hAnsi="Calibri"/>
          <w:b/>
          <w:color w:val="2D3748"/>
          <w:sz w:val="21"/>
        </w:rPr>
        <w:t xml:space="preserve">• Personnel &amp; Exit Records: </w:t>
      </w:r>
      <w:r>
        <w:rPr>
          <w:rFonts w:ascii="Calibri" w:hAnsi="Calibri"/>
          <w:color w:val="2D3748"/>
          <w:sz w:val="21"/>
        </w:rPr>
        <w:t>Dr. Holt's official personnel file at SkyVault, performance reviews, written job descriptions, the formal exit interview record, and any executed ECIAA Section 3.5 return/destruction certifications.</w:t>
      </w:r>
    </w:p>
    <w:p>
      <w:pPr>
        <w:spacing w:before="0" w:after="120" w:line="276" w:lineRule="auto"/>
      </w:pPr>
      <w:r>
        <w:rPr>
          <w:rFonts w:ascii="Calibri" w:hAnsi="Calibri"/>
          <w:b/>
          <w:color w:val="2D3748"/>
          <w:sz w:val="21"/>
        </w:rPr>
        <w:t xml:space="preserve">• Source Code Repositories: </w:t>
      </w:r>
      <w:r>
        <w:rPr>
          <w:rFonts w:ascii="Calibri" w:hAnsi="Calibri"/>
          <w:color w:val="2D3748"/>
          <w:sz w:val="21"/>
        </w:rPr>
        <w:t>Complete Git/GitLab/Bitbucket commit histories, branches, pull request discussions, code review comments, and cryptographic author tags for Meridian's PathForge from inception (April 2018) to v1.0 release (September 2020).</w:t>
      </w:r>
    </w:p>
    <w:p>
      <w:pPr>
        <w:spacing w:before="0" w:after="120" w:line="276" w:lineRule="auto"/>
      </w:pPr>
      <w:r>
        <w:rPr>
          <w:rFonts w:ascii="Calibri" w:hAnsi="Calibri"/>
          <w:b/>
          <w:color w:val="2D3748"/>
          <w:sz w:val="21"/>
        </w:rPr>
        <w:t xml:space="preserve">• Engineering Development Records: </w:t>
      </w:r>
      <w:r>
        <w:rPr>
          <w:rFonts w:ascii="Calibri" w:hAnsi="Calibri"/>
          <w:color w:val="2D3748"/>
          <w:sz w:val="21"/>
        </w:rPr>
        <w:t>Jira project tickets, architecture decision records (ADRs), internal engineering design specifications, hardware schematics, laboratory notebooks, and flight test data logs.</w:t>
      </w:r>
    </w:p>
    <w:p>
      <w:pPr>
        <w:spacing w:before="0" w:after="120" w:line="276" w:lineRule="auto"/>
      </w:pPr>
      <w:r>
        <w:rPr>
          <w:rFonts w:ascii="Calibri" w:hAnsi="Calibri"/>
          <w:b/>
          <w:color w:val="2D3748"/>
          <w:sz w:val="21"/>
        </w:rPr>
        <w:t xml:space="preserve">• Document Preservation &amp; Hold Notices: </w:t>
      </w:r>
      <w:r>
        <w:rPr>
          <w:rFonts w:ascii="Calibri" w:hAnsi="Calibri"/>
          <w:color w:val="2D3748"/>
          <w:sz w:val="21"/>
        </w:rPr>
        <w:t>Formal litigation hold notices issued by Meridian's legal department, employee distribution lists, signed acknowledgments, and IT audit records verifying the freezing of auto-deletion protocols.</w:t>
      </w:r>
    </w:p>
    <w:p>
      <w:pPr>
        <w:spacing w:before="0" w:after="120" w:line="276" w:lineRule="auto"/>
      </w:pPr>
      <w:r>
        <w:rPr>
          <w:rFonts w:ascii="Calibri" w:hAnsi="Calibri"/>
          <w:b/>
          <w:color w:val="2D3748"/>
          <w:sz w:val="21"/>
        </w:rPr>
        <w:t xml:space="preserve">• Internal Communications: </w:t>
      </w:r>
      <w:r>
        <w:rPr>
          <w:rFonts w:ascii="Calibri" w:hAnsi="Calibri"/>
          <w:color w:val="2D3748"/>
          <w:sz w:val="21"/>
        </w:rPr>
        <w:t>Email archives, Slack/Microsoft Teams channel histories, calendar invitations, and executive meeting minutes from February 2018 through October 2024.</w:t>
      </w:r>
    </w:p>
    <w:p>
      <w:pPr>
        <w:spacing w:before="0" w:after="120" w:line="276" w:lineRule="auto"/>
      </w:pPr>
      <w:r>
        <w:rPr>
          <w:rFonts w:ascii="Calibri" w:hAnsi="Calibri"/>
          <w:b/>
          <w:color w:val="2D3748"/>
          <w:sz w:val="21"/>
        </w:rPr>
        <w:t xml:space="preserve">• IP Compliance Materials: </w:t>
      </w:r>
      <w:r>
        <w:rPr>
          <w:rFonts w:ascii="Calibri" w:hAnsi="Calibri"/>
          <w:color w:val="2D3748"/>
          <w:sz w:val="21"/>
        </w:rPr>
        <w:t>Meridian's written employee handbook, IP onboarding policies, third-party proprietary information screening forms, and software composition analysis (SCA) scan logs (e.g., Black Duck, FOSSA, SonarQube).</w:t>
      </w:r>
    </w:p>
    <w:p>
      <w:pPr>
        <w:spacing w:before="0" w:after="120" w:line="276" w:lineRule="auto"/>
      </w:pPr>
      <w:r>
        <w:rPr>
          <w:rFonts w:ascii="Calibri" w:hAnsi="Calibri"/>
          <w:b/>
          <w:color w:val="2D3748"/>
          <w:sz w:val="21"/>
        </w:rPr>
        <w:t xml:space="preserve">• Complete Forensic Datasets: </w:t>
      </w:r>
      <w:r>
        <w:rPr>
          <w:rFonts w:ascii="Calibri" w:hAnsi="Calibri"/>
          <w:color w:val="2D3748"/>
          <w:sz w:val="21"/>
        </w:rPr>
        <w:t>The full, unredacted 12,847-event audit log population referenced in Exhibit F, full disk images of workstation SV-ENG-WS-014, and forensic images of Dr. Holt's personal/Meridian computing devices.</w:t>
      </w:r>
    </w:p>
    <w:p>
      <w:pPr>
        <w:spacing w:before="0" w:after="120" w:line="276" w:lineRule="auto"/>
      </w:pPr>
      <w:r>
        <w:rPr>
          <w:rFonts w:ascii="Calibri" w:hAnsi="Calibri"/>
          <w:b/>
          <w:color w:val="2D3748"/>
          <w:sz w:val="21"/>
        </w:rPr>
        <w:t xml:space="preserve">• Technical AST / Diff Code Comparisons: </w:t>
      </w:r>
      <w:r>
        <w:rPr>
          <w:rFonts w:ascii="Calibri" w:hAnsi="Calibri"/>
          <w:color w:val="2D3748"/>
          <w:sz w:val="21"/>
        </w:rPr>
        <w:t>Formal abstract syntax tree (AST) comparisons and line-by-line diffs between SkyVault's copyrighted AeroCore firmware files (`navfusion.c`, `pathoptengine.h`, `swarm_proto.cpp`) and PathForge source code.</w:t>
      </w:r>
    </w:p>
    <w:p>
      <w:pPr>
        <w:keepNext/>
        <w:spacing w:before="320" w:after="120"/>
      </w:pPr>
      <w:r>
        <w:rPr>
          <w:rFonts w:ascii="Calibri" w:hAnsi="Calibri"/>
          <w:b/>
          <w:color w:val="1A365D"/>
          <w:sz w:val="28"/>
        </w:rPr>
        <w:t>SECTION II: WITNESS EXAMINATION OUTLINE — DR. MARCUS HOLT (CHIEF TECHNOLOGY OFFICER &amp; CO-FOUNDER)</w:t>
      </w:r>
    </w:p>
    <w:p>
      <w:pPr>
        <w:spacing w:before="0" w:after="120" w:line="276" w:lineRule="auto"/>
      </w:pPr>
      <w:r>
        <w:rPr>
          <w:rFonts w:ascii="Calibri" w:hAnsi="Calibri"/>
          <w:color w:val="2D3748"/>
          <w:sz w:val="21"/>
        </w:rPr>
        <w:t>Dr. Marcus Holt is the pivotal individual spanning both companies, having served as a Senior Systems Engineer at SkyVault from June 2016 through February 2018 before co-founding Meridian Dynamics in April 2018 as Chief Technology Officer. In this initial round of privileged interviews, Dr. Holt's role is to provide a comprehensive, firsthand factual accounting of his technical responsibilities, access history, and departure circumstances at SkyVault, as well as the genuine technical genesis of Meridian's PathForge platform. His examination is vital to evaluating SkyVault's claims of bulk data misappropriation and copyright infringement against the verifiable history of his pre-existing academic expertise, contractual exclusions, and independent engineering contributions at Meridian.</w:t>
      </w:r>
    </w:p>
    <w:tbl>
      <w:tblPr>
        <w:tblW w:type="auto" w:w="0"/>
        <w:jc w:val="center"/>
        <w:tblLayout w:type="fixed"/>
        <w:tblLook w:firstColumn="1" w:firstRow="1" w:lastColumn="0" w:lastRow="0" w:noHBand="0" w:noVBand="1" w:val="04A0"/>
      </w:tblPr>
      <w:tblGrid>
        <w:gridCol w:w="9360"/>
      </w:tblGrid>
      <w:tr>
        <w:tc>
          <w:tcPr>
            <w:tcW w:type="dxa" w:w="9360"/>
            <w:shd w:fill="EDF2F7"/>
            <w:tcBorders>
              <w:top w:val="none"/>
              <w:left w:val="single" w:sz="36" w:space="0" w:color="1A365D"/>
              <w:bottom w:val="none"/>
              <w:right w:val="none"/>
            </w:tcBorders>
            <w:tcMar>
              <w:top w:w="140" w:type="dxa"/>
              <w:bottom w:w="140" w:type="dxa"/>
              <w:left w:w="180" w:type="dxa"/>
              <w:right w:w="180" w:type="dxa"/>
            </w:tcMar>
          </w:tcPr>
          <w:p>
            <w:pPr>
              <w:spacing w:before="0" w:after="0" w:line="276" w:lineRule="auto"/>
            </w:pPr>
            <w:r>
              <w:rPr>
                <w:rFonts w:ascii="Calibri" w:hAnsi="Calibri"/>
                <w:b/>
                <w:color w:val="1A365D"/>
                <w:sz w:val="20"/>
              </w:rPr>
              <w:t xml:space="preserve">INTERVIEW PROTOCOL &amp; CREDIBILITY ASSESSMENT: </w:t>
            </w:r>
            <w:r>
              <w:rPr>
                <w:rFonts w:ascii="Calibri" w:hAnsi="Calibri"/>
                <w:i/>
                <w:color w:val="2D3748"/>
                <w:sz w:val="20"/>
              </w:rPr>
              <w:t>EXAMINATION DIRECTIVE: All questions must be posed in an open-ended manner to elicit Dr. Holt's unvarnished factual recollections. Counsel must avoid leading phrasing on contested departure events. The examining attorney must observe how Dr. Holt handles document confrontations—particularly regarding Exhibit F forensic entries—to evaluate his credibility, composure, and viability as a key deposition and trial witness. Counsel must also confirm the existence, location, and preservation of any personal notes, records, or storage media.</w:t>
            </w:r>
          </w:p>
        </w:tc>
      </w:tr>
    </w:tbl>
    <w:p>
      <w:pPr>
        <w:spacing w:before="0" w:after="80"/>
      </w:pPr>
    </w:p>
    <w:p>
      <w:pPr>
        <w:keepNext/>
        <w:spacing w:before="240" w:after="80"/>
      </w:pPr>
      <w:r>
        <w:rPr>
          <w:rFonts w:ascii="Calibri" w:hAnsi="Calibri"/>
          <w:b/>
          <w:color w:val="2B6CB0"/>
          <w:sz w:val="24"/>
        </w:rPr>
        <w:t>2.1 Academic Background, Prior Inventions, and ECIAA Exhibit A Disclosures</w:t>
      </w:r>
    </w:p>
    <w:p>
      <w:pPr>
        <w:keepNext/>
        <w:spacing w:before="160" w:after="60" w:line="276" w:lineRule="auto"/>
      </w:pPr>
      <w:r>
        <w:rPr>
          <w:rFonts w:ascii="Calibri" w:hAnsi="Calibri"/>
          <w:b/>
          <w:color w:val="1A365D"/>
          <w:sz w:val="21"/>
        </w:rPr>
        <w:t xml:space="preserve">Q1. </w:t>
      </w:r>
      <w:r>
        <w:rPr>
          <w:rFonts w:ascii="Calibri" w:hAnsi="Calibri"/>
          <w:b/>
          <w:color w:val="2D3748"/>
          <w:sz w:val="21"/>
        </w:rPr>
        <w:t>Dr. Holt, please describe your doctoral research in robotics at the Georgia Institute of Technology, focusing on the specific algorithms, mathematical models, and software you developed prior to joining SkyVault in June 2016.</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Recitals (p. 1) &amp; Exhibit A (Table 0, Row 1) [establishing PhD degree (2015) and excluding 'Autonomous Ground Vehicle Path Planning Algorithm' (2014-2015)]; skyvault-complaint.docx ¶ 42 [alleging PhD background in robotics]; pathforge-whitepaper-excerpt.docx Section 2 (p. 2) [referencing Dr. Holt's academic background shaping PathForge architecture].</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Dr. Holt's pre-existing, non-infringing academic foundation in path planning and autonomous systems; prove that his foundational algorithmic expertise was acquired prior to SkyVault and contractually excluded under ECIAA Section 5.3; refute SkyVault's allegation that his navigation expertise was derived from SkyVault.</w:t>
      </w:r>
    </w:p>
    <w:p>
      <w:pPr>
        <w:keepNext/>
        <w:spacing w:before="160" w:after="60" w:line="276" w:lineRule="auto"/>
      </w:pPr>
      <w:r>
        <w:rPr>
          <w:rFonts w:ascii="Calibri" w:hAnsi="Calibri"/>
          <w:b/>
          <w:color w:val="1A365D"/>
          <w:sz w:val="21"/>
        </w:rPr>
        <w:t xml:space="preserve">Q2. </w:t>
      </w:r>
      <w:r>
        <w:rPr>
          <w:rFonts w:ascii="Calibri" w:hAnsi="Calibri"/>
          <w:b/>
          <w:color w:val="2D3748"/>
          <w:sz w:val="21"/>
        </w:rPr>
        <w:t>What was the origin, scope, and public availability of the 'RoboNav Sensor Calibration Toolkit' that you listed in Exhibit A of your SkyVault employment agreement, and where was that code hosted?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Exhibit A (Table 0, Row 2) [disclosing 'RoboNav Sensor Calibration Toolkit (open-source)' published on GitHub under MIT License at github.com/mholt-robotics/robonav-cal]; holt-eciaa-agreement.docx Section 2.1(i)-(ii) [excluding publicly available and previously known information from 'Confidential Information'].</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Document that sensor calibration tools were authored by Dr. Holt and published open-source under an MIT License before joining SkyVault; establish that these methodologies were publicly accessible prior art that could not constitute SkyVault trade secrets under TUTSA or DTSA.</w:t>
      </w:r>
    </w:p>
    <w:p>
      <w:pPr>
        <w:keepNext/>
        <w:spacing w:before="160" w:after="60" w:line="276" w:lineRule="auto"/>
      </w:pPr>
      <w:r>
        <w:rPr>
          <w:rFonts w:ascii="Calibri" w:hAnsi="Calibri"/>
          <w:b/>
          <w:color w:val="1A365D"/>
          <w:sz w:val="21"/>
        </w:rPr>
        <w:t xml:space="preserve">Q3. </w:t>
      </w:r>
      <w:r>
        <w:rPr>
          <w:rFonts w:ascii="Calibri" w:hAnsi="Calibri"/>
          <w:b/>
          <w:color w:val="2D3748"/>
          <w:sz w:val="21"/>
        </w:rPr>
        <w:t>During your employment at SkyVault, did you introduce, modify, or reference your pre-existing RoboNav codebase or doctoral research in any SkyVault projects, and did anyone at SkyVault ever comment on or claim ownership of those tools?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Section 3.4 [expressly preserving employee's right to use general skills, knowledge, and industry information] and Section 5.3 [excluding Prior Inventions]; skyvault-complaint.docx ¶ 38(a)-(b) [asserting ownership of sensor fusion and path planning].</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Clarify whether Dr. Holt's prior open-source software was integrated into SkyVault systems, and confirm that SkyVault had contemporaneous written notice of Dr. Holt's prior inventions without raising an ownership claim during his tenure.</w:t>
      </w:r>
    </w:p>
    <w:p>
      <w:pPr>
        <w:keepNext/>
        <w:spacing w:before="240" w:after="80"/>
      </w:pPr>
      <w:r>
        <w:rPr>
          <w:rFonts w:ascii="Calibri" w:hAnsi="Calibri"/>
          <w:b/>
          <w:color w:val="2B6CB0"/>
          <w:sz w:val="24"/>
        </w:rPr>
        <w:t>2.2 SkyVault Employment Tenure, Reporting Lines, and System Access History</w:t>
      </w:r>
    </w:p>
    <w:p>
      <w:pPr>
        <w:keepNext/>
        <w:spacing w:before="160" w:after="60" w:line="276" w:lineRule="auto"/>
      </w:pPr>
      <w:r>
        <w:rPr>
          <w:rFonts w:ascii="Calibri" w:hAnsi="Calibri"/>
          <w:b/>
          <w:color w:val="1A365D"/>
          <w:sz w:val="21"/>
        </w:rPr>
        <w:t xml:space="preserve">Q4. </w:t>
      </w:r>
      <w:r>
        <w:rPr>
          <w:rFonts w:ascii="Calibri" w:hAnsi="Calibri"/>
          <w:b/>
          <w:color w:val="2D3748"/>
          <w:sz w:val="21"/>
        </w:rPr>
        <w:t>When you joined SkyVault as a Senior Systems Engineer on June 13, 2016, what were your specific engineering responsibilities, and how did your day-to-day workflow interact with SkyVault's CEO, Dr. Rajan Mehta?</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Section 1.1 [defining position and duties reporting to CEO Dr. Rajan Mehta]; skyvault-complaint.docx ¶ 5, 21, 43 [alleging Dr. Mehta's background and Dr. Holt's hire date]; meridian-cd-response.docx ¶ 11 [asserting independent development].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Delineate Dr. Holt's actual R&amp;D scope versus Dr. Mehta's architectural oversight; assess the division of labor between Dr. Mehta and Dr. Holt to evaluate inventorship and patent ownership issues under the '561, '227, and '889 patents.</w:t>
      </w:r>
    </w:p>
    <w:p>
      <w:pPr>
        <w:keepNext/>
        <w:spacing w:before="160" w:after="60" w:line="276" w:lineRule="auto"/>
      </w:pPr>
      <w:r>
        <w:rPr>
          <w:rFonts w:ascii="Calibri" w:hAnsi="Calibri"/>
          <w:b/>
          <w:color w:val="1A365D"/>
          <w:sz w:val="21"/>
        </w:rPr>
        <w:t xml:space="preserve">Q5. </w:t>
      </w:r>
      <w:r>
        <w:rPr>
          <w:rFonts w:ascii="Calibri" w:hAnsi="Calibri"/>
          <w:b/>
          <w:color w:val="2D3748"/>
          <w:sz w:val="21"/>
        </w:rPr>
        <w:t>Please describe the standard IT environment, user permissions, and directory access granted to you at SkyVault, including your use of the workstation SV-ENG-WS-014 and the internal Confluence knowledge workspace.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'Report Metadata' (Row 7) [defining scope as user 'mholt'] &amp; Sheet 'Forensic Log' (Rows 1-26, Column 'Workstation Name' SV-ENG-WS-014, IP 10.10.42.118); skyvault-complaint.docx ¶ 44 [alleging broad access to AeroCore technology].</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whether Dr. Holt's access across Confluence engineering subspaces (/SensorFusion/, /FlightPath/, /SwarmProtocol/, /HardwareIntegration/) was ordinary, company-authorized system access consistent with his senior engineering duties, refuting claims of unauthorized intrusions.</w:t>
      </w:r>
    </w:p>
    <w:p>
      <w:pPr>
        <w:keepNext/>
        <w:spacing w:before="160" w:after="60" w:line="276" w:lineRule="auto"/>
      </w:pPr>
      <w:r>
        <w:rPr>
          <w:rFonts w:ascii="Calibri" w:hAnsi="Calibri"/>
          <w:b/>
          <w:color w:val="1A365D"/>
          <w:sz w:val="21"/>
        </w:rPr>
        <w:t xml:space="preserve">Q6. </w:t>
      </w:r>
      <w:r>
        <w:rPr>
          <w:rFonts w:ascii="Calibri" w:hAnsi="Calibri"/>
          <w:b/>
          <w:color w:val="2D3748"/>
          <w:sz w:val="21"/>
        </w:rPr>
        <w:t>Exhibit F lists an event on January 24, 2018, where user 'mholt' viewed a file named 'customer_contracts_summary_2017.xlsx' in the Business/CustomerData Confluence space. What do you recall about accessing that spreadsheet, and did your engineering duties ever require reviewing customer proposals or commercial contracts?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'Forensic Log', Row 17 (Event Date 01/24/2018, Event Time 01:14:28 PM CT, Event Type FILE_VIEW, Path /SkyVault/Business/CustomerData/, File customer_contracts_summary_2017.xlsx); skyvault-complaint.docx ¶ 38(c) [asserting TS-3: customer lists and pricing] &amp; ¶ 44 [alleging access to customer proposals].</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Directly test SkyVault's allegation that Dr. Holt misappropriated customer lists and pricing strategies (TS-3); establish whether this document view was an isolated, legitimate operational inquiry for technical proposals or an inadvertent click, rather than commercial theft.</w:t>
      </w:r>
    </w:p>
    <w:p>
      <w:pPr>
        <w:keepNext/>
        <w:spacing w:before="240" w:after="80"/>
      </w:pPr>
      <w:r>
        <w:rPr>
          <w:rFonts w:ascii="Calibri" w:hAnsi="Calibri"/>
          <w:b/>
          <w:color w:val="2B6CB0"/>
          <w:sz w:val="24"/>
        </w:rPr>
        <w:t>2.3 The February 2018 Confluence Activity, Device Usage, and Exit Circumstances</w:t>
      </w:r>
    </w:p>
    <w:p>
      <w:pPr>
        <w:keepNext/>
        <w:spacing w:before="160" w:after="60" w:line="276" w:lineRule="auto"/>
      </w:pPr>
      <w:r>
        <w:rPr>
          <w:rFonts w:ascii="Calibri" w:hAnsi="Calibri"/>
          <w:b/>
          <w:color w:val="1A365D"/>
          <w:sz w:val="21"/>
        </w:rPr>
        <w:t xml:space="preserve">Q7. </w:t>
      </w:r>
      <w:r>
        <w:rPr>
          <w:rFonts w:ascii="Calibri" w:hAnsi="Calibri"/>
          <w:b/>
          <w:color w:val="2D3748"/>
          <w:sz w:val="21"/>
        </w:rPr>
        <w:t>Between February 2, 2018, and February 8, 2018, SkyVault's forensic log records six bulk export operations from Confluence to a local downloads folder on workstation SV-ENG-WS-014. What was the purpose of these bulk exports, and who, if anyone, authorized or knew about them?</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'Forensic Log', Rows 27-32 [documenting bulk exports on 02/02/2018, 02/05/2018, 02/06/2018, 02/07/2018, and 02/08/2018 totaling 1,529 files and over 9.6 GB from SensorFusion/Archives, FlightPath, SwarmProtocol, HardwareIntegration, and Business/CustomerData to C:\Users\mholt\Downloads\]; skyvault-complaint.docx ¶ 48-50 [alleging pre-resignation misappropriation].</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Elicit Dr. Holt's explanation for the sequence of local exports leading up to his resignation; determine whether these archives were created for routine engineering handoffs, project archiving, offline development on company hardware, or personal retention.</w:t>
      </w:r>
    </w:p>
    <w:p>
      <w:pPr>
        <w:keepNext/>
        <w:spacing w:before="160" w:after="60" w:line="276" w:lineRule="auto"/>
      </w:pPr>
      <w:r>
        <w:rPr>
          <w:rFonts w:ascii="Calibri" w:hAnsi="Calibri"/>
          <w:b/>
          <w:color w:val="1A365D"/>
          <w:sz w:val="21"/>
        </w:rPr>
        <w:t xml:space="preserve">Q8. </w:t>
      </w:r>
      <w:r>
        <w:rPr>
          <w:rFonts w:ascii="Calibri" w:hAnsi="Calibri"/>
          <w:b/>
          <w:color w:val="2D3748"/>
          <w:sz w:val="21"/>
        </w:rPr>
        <w:t>SkyVault alleges that on February 8/9, 2018, a SanDisk Ultra 128GB USB device was connected to your workstation and 4,700 files totaling approximately 18.1 GB were copied to removable media. Did you connect that USB device, what files were transferred, and why was that transfer conducted?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'Forensic Log', Rows 33-35 [Row 33: 02/09/2018 08:17:44 PM (02/08 CT), USB_DEVICE_CONNECTED, Device ID USB\VID_0781&amp;PID_5581\4C530001221029118035; Row 34: 02/09/2018 08:18:12 PM (02/08 CT), BULK_COPY_TO_REMOVABLE, 4,700 files, 18,473.2 MB, Destination F:\SkyVault_Export\; Row 35: 02/09/2018 09:42:58 PM (02/08 CT), USB_DEVICE_DISCONNECTED]; skyvault-complaint.docx ¶ 48, 50, 74, 76.</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Confront Dr. Holt with the central factual linchpin of SkyVault's trade secret and breach of contract claims; determine whether he performed the transfer, whether the device belonged to him or SkyVault, what files were actually on drive F:, and the objective purpose of the transfer.</w:t>
      </w:r>
    </w:p>
    <w:p>
      <w:pPr>
        <w:keepNext/>
        <w:spacing w:before="160" w:after="60" w:line="276" w:lineRule="auto"/>
      </w:pPr>
      <w:r>
        <w:rPr>
          <w:rFonts w:ascii="Calibri" w:hAnsi="Calibri"/>
          <w:b/>
          <w:color w:val="1A365D"/>
          <w:sz w:val="21"/>
        </w:rPr>
        <w:t xml:space="preserve">Q9. </w:t>
      </w:r>
      <w:r>
        <w:rPr>
          <w:rFonts w:ascii="Calibri" w:hAnsi="Calibri"/>
          <w:b/>
          <w:color w:val="2D3748"/>
          <w:sz w:val="21"/>
        </w:rPr>
        <w:t>SkyVault's IT log indicates that on the morning of February 13, 2018, your Confluence and VPN access were revoked, and a failed login attempt was recorded under your username at 9:44 AM CT. What occurred that morning, and were you informed why your access was cut off?</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'Forensic Log', Rows 41-44 [Row 41: 02/13/2018 08:08:32 AM, ADMIN_ACTION permissions audit; Row 42: 08:22:05 AM, ACCESS_REVOKED Confluence; Row 43: 08:25:18 AM, VPN_ACCESS_REVOKED; Row 44: 09:44:51 AM, LOGIN_FAILED Failed - Access Revoked]; skyvault-complaint.docx ¶ 51 [alleging IT flagged download].</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Ascertain Dr. Holt's contemporaneous knowledge of SkyVault's security escalation; establish whether SkyVault confronted him on February 13 or permitted him to remain employed through February 16 without formal explanation.</w:t>
      </w:r>
    </w:p>
    <w:p>
      <w:pPr>
        <w:keepNext/>
        <w:spacing w:before="160" w:after="60" w:line="276" w:lineRule="auto"/>
      </w:pPr>
      <w:r>
        <w:rPr>
          <w:rFonts w:ascii="Calibri" w:hAnsi="Calibri"/>
          <w:b/>
          <w:color w:val="1A365D"/>
          <w:sz w:val="21"/>
        </w:rPr>
        <w:t xml:space="preserve">Q10. </w:t>
      </w:r>
      <w:r>
        <w:rPr>
          <w:rFonts w:ascii="Calibri" w:hAnsi="Calibri"/>
          <w:b/>
          <w:color w:val="2D3748"/>
          <w:sz w:val="21"/>
        </w:rPr>
        <w:t>On February 15, 2018, you attended an exit interview with SkyVault HR Director K. Patel. A note in Exhibit F asserts that you 'declined to return or identify USB device.' What was discussed during that meeting, what was asked regarding external storage devices, and what did you state?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'Forensic Log', Row 46 [02/15/2018 10:30:22 AM, ADMIN_NOTE, 'Exit interview for M. Holt completed by HR. Employee declined to return or identify USB device. Laptop SV-ENG-WS-014 retained by IT for forensic imaging.']; holt-eciaa-agreement.docx Section 3.5 &amp; 4.4 [exit procedures and return of materials]; skyvault-complaint.docx ¶ 52 [alleging failure to return USB storage device].</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Directly test the accuracy of HR Director Patel's administrative note; determine whether Dr. Holt actively refused to return media, whether the USB drive was discussed, whether he explained that the device was discarded or contained no proprietary data, and confirm surrender of laptop SV-ENG-WS-014.</w:t>
      </w:r>
    </w:p>
    <w:p>
      <w:pPr>
        <w:keepNext/>
        <w:spacing w:before="160" w:after="60" w:line="276" w:lineRule="auto"/>
      </w:pPr>
      <w:r>
        <w:rPr>
          <w:rFonts w:ascii="Calibri" w:hAnsi="Calibri"/>
          <w:b/>
          <w:color w:val="1A365D"/>
          <w:sz w:val="21"/>
        </w:rPr>
        <w:t xml:space="preserve">Q11. </w:t>
      </w:r>
      <w:r>
        <w:rPr>
          <w:rFonts w:ascii="Calibri" w:hAnsi="Calibri"/>
          <w:b/>
          <w:color w:val="2D3748"/>
          <w:sz w:val="21"/>
        </w:rPr>
        <w:t>Following your last day at SkyVault on February 16, 2018, what happened to the SanDisk Ultra 128GB USB drive, and did you retain, delete, or transfer any electronic files originating from SkyVault's Confluence or engineering servers?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Section 3.5(a)-(c) [obligations to return, permanently delete/destroy electronic copies, and certify compliance]; skyvault-complaint.docx ¶ 52, 128(a) [alleging retention and failure to certify destruction].</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Determine the physical whereabouts and electronic chain of custody of the SanDisk USB drive; establish whether Dr. Holt deleted, wiped, or destroyed the data, or if the drive still exists and can be subjected to defense forensic imaging.</w:t>
      </w:r>
    </w:p>
    <w:p>
      <w:pPr>
        <w:keepNext/>
        <w:spacing w:before="240" w:after="80"/>
      </w:pPr>
      <w:r>
        <w:rPr>
          <w:rFonts w:ascii="Calibri" w:hAnsi="Calibri"/>
          <w:b/>
          <w:color w:val="2B6CB0"/>
          <w:sz w:val="24"/>
        </w:rPr>
        <w:t>2.4 Post-Departure Period, Meridian Founding, and Architectural Conception</w:t>
      </w:r>
    </w:p>
    <w:p>
      <w:pPr>
        <w:keepNext/>
        <w:spacing w:before="160" w:after="60" w:line="276" w:lineRule="auto"/>
      </w:pPr>
      <w:r>
        <w:rPr>
          <w:rFonts w:ascii="Calibri" w:hAnsi="Calibri"/>
          <w:b/>
          <w:color w:val="1A365D"/>
          <w:sz w:val="21"/>
        </w:rPr>
        <w:t xml:space="preserve">Q12. </w:t>
      </w:r>
      <w:r>
        <w:rPr>
          <w:rFonts w:ascii="Calibri" w:hAnsi="Calibri"/>
          <w:b/>
          <w:color w:val="2D3748"/>
          <w:sz w:val="21"/>
        </w:rPr>
        <w:t>Following your departure from SkyVault on February 16, 2018, when did you first discuss the formation of Meridian Dynamics with Priya Chandrasekaran, and what agreements or understandings governed your partnership prior to incorporation on April 11, 2018?</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10, 53 [alleging Meridian founded by Chandrasekaran and Holt on April 11, 2018]; pathforge-whitepaper-excerpt.docx Section 1 (p. 1) &amp; Section 7.2 (p. 10) [confirming April 2018 incorporation]; exhibit-f-forensic-log.xlsx, Sheet 'Forensic Log', Row 47 [02/16/2018 termination].</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Reconstruct the timeline between departure and founding; refute SkyVault's allegation that the two-month transition period proves a pre-planned scheme to misappropriate technology; verify the independent genesis of Meridian's business plan.</w:t>
      </w:r>
    </w:p>
    <w:p>
      <w:pPr>
        <w:keepNext/>
        <w:spacing w:before="160" w:after="60" w:line="276" w:lineRule="auto"/>
      </w:pPr>
      <w:r>
        <w:rPr>
          <w:rFonts w:ascii="Calibri" w:hAnsi="Calibri"/>
          <w:b/>
          <w:color w:val="1A365D"/>
          <w:sz w:val="21"/>
        </w:rPr>
        <w:t xml:space="preserve">Q13. </w:t>
      </w:r>
      <w:r>
        <w:rPr>
          <w:rFonts w:ascii="Calibri" w:hAnsi="Calibri"/>
          <w:b/>
          <w:color w:val="2D3748"/>
          <w:sz w:val="21"/>
        </w:rPr>
        <w:t>When you and the founding team began conceptualizing PathForge in the spring and summer of 2018, what technical problems were you seeking to solve, and what source materials or baseline architectures did you rely on to draft the initial system specifications?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1 (p. 1-2) [defining 3 technology pillars], Section 2 (p. 2) [stating design drew on academic literature], &amp; Section 7.2 [development timeline beginning April 2018]; meridian-cd-response.docx ¶ 11 [asserting independent development].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that PathForge was conceived from first principles and publicly available engineering literature; demonstrate that no SkyVault code, documents, or architecture specifications were consulted or incorporated during initial system design.</w:t>
      </w:r>
    </w:p>
    <w:p>
      <w:pPr>
        <w:keepNext/>
        <w:spacing w:before="160" w:after="60" w:line="276" w:lineRule="auto"/>
      </w:pPr>
      <w:r>
        <w:rPr>
          <w:rFonts w:ascii="Calibri" w:hAnsi="Calibri"/>
          <w:b/>
          <w:color w:val="1A365D"/>
          <w:sz w:val="21"/>
        </w:rPr>
        <w:t xml:space="preserve">Q14. </w:t>
      </w:r>
      <w:r>
        <w:rPr>
          <w:rFonts w:ascii="Calibri" w:hAnsi="Calibri"/>
          <w:b/>
          <w:color w:val="2D3748"/>
          <w:sz w:val="21"/>
        </w:rPr>
        <w:t>Did you or Meridian recruit, solicit, or hire any former SkyVault employees or contractors between February 2018 and February 2019, during the 12-month non-solicitation window specified in Section 7.1 of your ECIAA?</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Section 7.1 [12-month restriction on soliciting or hiring SkyVault employees]; skyvault-complaint.docx ¶ 12, 16, 46(c) [alleging Meridian employs ~112 people, while SkyVault employs ~34].</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Confirm strict compliance with the ECIAA Section 7.1 non-solicitation covenant (which expired on February 16, 2019); eliminate potential claims of employee poaching or tainted technical contamination from other former SkyVault personnel.</w:t>
      </w:r>
    </w:p>
    <w:p>
      <w:pPr>
        <w:keepNext/>
        <w:spacing w:before="240" w:after="80"/>
      </w:pPr>
      <w:r>
        <w:rPr>
          <w:rFonts w:ascii="Calibri" w:hAnsi="Calibri"/>
          <w:b/>
          <w:color w:val="2B6CB0"/>
          <w:sz w:val="24"/>
        </w:rPr>
        <w:t>2.5 Authorship, Drafting, and Representations in the July 2022 White Paper</w:t>
      </w:r>
    </w:p>
    <w:p>
      <w:pPr>
        <w:keepNext/>
        <w:spacing w:before="160" w:after="60" w:line="276" w:lineRule="auto"/>
      </w:pPr>
      <w:r>
        <w:rPr>
          <w:rFonts w:ascii="Calibri" w:hAnsi="Calibri"/>
          <w:b/>
          <w:color w:val="1A365D"/>
          <w:sz w:val="21"/>
        </w:rPr>
        <w:t xml:space="preserve">Q15. </w:t>
      </w:r>
      <w:r>
        <w:rPr>
          <w:rFonts w:ascii="Calibri" w:hAnsi="Calibri"/>
          <w:b/>
          <w:color w:val="2D3748"/>
          <w:sz w:val="21"/>
        </w:rPr>
        <w:t>You are listed alongside the 'PathForge Engineering Team' as the author of the July 2022 white paper titled 'PathForge: Next-Generation Autonomous Navigation.' What was your specific personal role in researching, drafting, and approving that document?</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Title Page (p. 1) [listing 'Dr. Marcus Holt, CTO and Co-Founder' and 'PathForge Engineering Team']; skyvault-complaint.docx ¶ 57-58, 84-85 [treating white paper as technical confession of infringement].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Distinguish Dr. Holt's high-level executive contribution and review from the technical descriptions prepared by individual engineering leads; determine whether the white paper represents actual code architecture or marketing-driven technical summaries.</w:t>
      </w:r>
    </w:p>
    <w:p>
      <w:pPr>
        <w:keepNext/>
        <w:spacing w:before="160" w:after="60" w:line="276" w:lineRule="auto"/>
      </w:pPr>
      <w:r>
        <w:rPr>
          <w:rFonts w:ascii="Calibri" w:hAnsi="Calibri"/>
          <w:b/>
          <w:color w:val="1A365D"/>
          <w:sz w:val="21"/>
        </w:rPr>
        <w:t xml:space="preserve">Q16. </w:t>
      </w:r>
      <w:r>
        <w:rPr>
          <w:rFonts w:ascii="Calibri" w:hAnsi="Calibri"/>
          <w:b/>
          <w:color w:val="2D3748"/>
          <w:sz w:val="21"/>
        </w:rPr>
        <w:t>The white paper explicitly states that it is an 'excerpt of the full PathForge Technical White Paper (42 pages)' and that Section 6 and appendices were omitted. What information was contained in the full 42-page version, and why were those sections omitted from the public release?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Document Classification (p. 1) &amp; Section 6 Note (p. 9) [omitting detailed hardware specifications and appendices]; skyvault-complaint.docx ¶ 57 [attaching excerpt as Exhibit G].</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Identify the full documentary context of the white paper; verify whether SkyVault possesses the complete 42-page technical document or only the public marketing excerpt, and evaluate the contents of the omitted hardware specifications.</w:t>
      </w:r>
    </w:p>
    <w:p>
      <w:pPr>
        <w:keepNext/>
        <w:spacing w:before="160" w:after="60" w:line="276" w:lineRule="auto"/>
      </w:pPr>
      <w:r>
        <w:rPr>
          <w:rFonts w:ascii="Calibri" w:hAnsi="Calibri"/>
          <w:b/>
          <w:color w:val="1A365D"/>
          <w:sz w:val="21"/>
        </w:rPr>
        <w:t xml:space="preserve">Q17. </w:t>
      </w:r>
      <w:r>
        <w:rPr>
          <w:rFonts w:ascii="Calibri" w:hAnsi="Calibri"/>
          <w:b/>
          <w:color w:val="2D3748"/>
          <w:sz w:val="21"/>
        </w:rPr>
        <w:t>In Table 1 of SkyVault's Complaint, SkyVault quotes from sections titled 'Section 4.1 Threat Assessment Module' and 'Section 5.1 Flight Controller API.' However, in the July 2022 White Paper excerpt, Section 4 is 'GPS-Denied Environment Navigation' and Section 5 is 'Swarm Coordination Protocol.' Can you explain where SkyVault's quoted section titles and text came from?</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Table 1 (Claim 1[c], 1[d], 1[e] PathForge Accused Feature quotes); pathforge-whitepaper-excerpt.docx, Section 4 (p. 5), Section 5 (p. 7), and Table of Contents structure.</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Identify and exploit a critical drafting error or evidentiary defect in SkyVault's Complaint; determine whether SkyVault misquoted the white paper, fabricated sections, or obtained an unreleased internal draft from an unknown source.</w:t>
      </w:r>
    </w:p>
    <w:p>
      <w:pPr>
        <w:keepNext/>
        <w:spacing w:before="240" w:after="80"/>
      </w:pPr>
      <w:r>
        <w:rPr>
          <w:rFonts w:ascii="Calibri" w:hAnsi="Calibri"/>
          <w:b/>
          <w:color w:val="2B6CB0"/>
          <w:sz w:val="24"/>
        </w:rPr>
        <w:t>2.6 Academic Literature and Open-Source Platforms (Testing 8 Operational Modes)</w:t>
      </w:r>
    </w:p>
    <w:p>
      <w:pPr>
        <w:keepNext/>
        <w:spacing w:before="160" w:after="60" w:line="276" w:lineRule="auto"/>
      </w:pPr>
      <w:r>
        <w:rPr>
          <w:rFonts w:ascii="Calibri" w:hAnsi="Calibri"/>
          <w:b/>
          <w:color w:val="1A365D"/>
          <w:sz w:val="21"/>
        </w:rPr>
        <w:t xml:space="preserve">Q18. </w:t>
      </w:r>
      <w:r>
        <w:rPr>
          <w:rFonts w:ascii="Calibri" w:hAnsi="Calibri"/>
          <w:b/>
          <w:color w:val="2D3748"/>
          <w:sz w:val="21"/>
        </w:rPr>
        <w:t>Section 2 of the PathForge White Paper discusses Dr. Elena Vasquez's seminal 2016 IEEE paper on multi-sensor fusion. Testing each mode: When did you first become aware of Vasquez (2016)? Did you cite it in early specs? Did you evaluate it? Was any algorithm cloned? Were any dependencies included? Was it modified? Was it used in PathForge, and what aspects were left unused?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2 (p. 2), Section 3.1 (p. 3), Section 3.2 (p. 4), &amp; References (Item 1) [citing E. Vasquez, IEEE Transactions on Robotics, Oct 2016]; skyvault-complaint.docx ¶ 28 ('561 Patent), ¶ 38(a) (TS-1), ¶ 64-73.</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Systematically evaluate Dr. Holt's interaction with the Vasquez prior art across all eight operational modes (awareness, citation, evaluation, cloning, dependency inclusion, modification, use, non-use); prove that PathForge's sensor fusion methodology is rooted in standard, published academic literature available to the public in 2016.</w:t>
      </w:r>
    </w:p>
    <w:p>
      <w:pPr>
        <w:keepNext/>
        <w:spacing w:before="160" w:after="60" w:line="276" w:lineRule="auto"/>
      </w:pPr>
      <w:r>
        <w:rPr>
          <w:rFonts w:ascii="Calibri" w:hAnsi="Calibri"/>
          <w:b/>
          <w:color w:val="1A365D"/>
          <w:sz w:val="21"/>
        </w:rPr>
        <w:t xml:space="preserve">Q19. </w:t>
      </w:r>
      <w:r>
        <w:rPr>
          <w:rFonts w:ascii="Calibri" w:hAnsi="Calibri"/>
          <w:b/>
          <w:color w:val="2D3748"/>
          <w:sz w:val="21"/>
        </w:rPr>
        <w:t>The White Paper also cites the open-source DroneNav GitHub repository committed on August 15, 2017. Testing each mode: When did you become aware of DroneNav? Was it cited in Meridian specs? Did you evaluate the repo? Was any code cloned? Were any dependencies included? Was it modified? Did Meridian use any DroneNav code in PathForge, or was it entirely unused?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2 (p. 2), Section 4.1 (p. 5), Section 4.2 (p. 6), &amp; References (Item 2) [github.com/dronenav/dronenav]; skyvault-complaint.docx ¶ 29 ('227 Patent), ¶ 38(b) (TS-2), ¶ 74-81.</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Systematically test DroneNav across all eight operational modes; establish that visual-inertial odometry (VIO) using sliding-window optimization was an established open-source technique published in August 2017, disproving SkyVault's claims of exclusive proprietary ownership.</w:t>
      </w:r>
    </w:p>
    <w:p>
      <w:pPr>
        <w:keepNext/>
        <w:spacing w:before="160" w:after="60" w:line="276" w:lineRule="auto"/>
      </w:pPr>
      <w:r>
        <w:rPr>
          <w:rFonts w:ascii="Calibri" w:hAnsi="Calibri"/>
          <w:b/>
          <w:color w:val="1A365D"/>
          <w:sz w:val="21"/>
        </w:rPr>
        <w:t xml:space="preserve">Q20. </w:t>
      </w:r>
      <w:r>
        <w:rPr>
          <w:rFonts w:ascii="Calibri" w:hAnsi="Calibri"/>
          <w:b/>
          <w:color w:val="2D3748"/>
          <w:sz w:val="21"/>
        </w:rPr>
        <w:t>Regarding the additional academic citations in the White Paper—specifically Nakamura &amp; Okonkwo (2015) for Kalman filtering and Ferreira et al. (2016) for multi-robot consensus algorithms—how did those academic works influence your architectural concepts, and did you copy any code from them?</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2 (p. 2), Section 5.2 (p. 8), &amp; References (Items 3-4); skyvault-complaint.docx ¶ 30 ('889 Patent), ¶ 38(d) (TS-4).</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Demonstrate that Meridian's swarm coordination and Kalman filter implementations are based on publicly known academic principles rather than SkyVault trade secrets, refuting Counts III, IV, and V.</w:t>
      </w:r>
    </w:p>
    <w:p>
      <w:pPr>
        <w:keepNext/>
        <w:spacing w:before="240" w:after="80"/>
      </w:pPr>
      <w:r>
        <w:rPr>
          <w:rFonts w:ascii="Calibri" w:hAnsi="Calibri"/>
          <w:b/>
          <w:color w:val="2B6CB0"/>
          <w:sz w:val="24"/>
        </w:rPr>
        <w:t>2.7 AeroCore Firmware Knowledge and Allegations of Code Copying</w:t>
      </w:r>
    </w:p>
    <w:p>
      <w:pPr>
        <w:keepNext/>
        <w:spacing w:before="160" w:after="60" w:line="276" w:lineRule="auto"/>
      </w:pPr>
      <w:r>
        <w:rPr>
          <w:rFonts w:ascii="Calibri" w:hAnsi="Calibri"/>
          <w:b/>
          <w:color w:val="1A365D"/>
          <w:sz w:val="21"/>
        </w:rPr>
        <w:t xml:space="preserve">Q21. </w:t>
      </w:r>
      <w:r>
        <w:rPr>
          <w:rFonts w:ascii="Calibri" w:hAnsi="Calibri"/>
          <w:b/>
          <w:color w:val="2D3748"/>
          <w:sz w:val="21"/>
        </w:rPr>
        <w:t>In Count VI of the Complaint, SkyVault alleges that PathForge copied source code files from its AeroCore Firmware Suite, specifically naming 'navfusion.c', 'pathoptengine.h', and 'swarm_proto.cpp.' Are you familiar with these filenames from your work at SkyVault, and did you ever bring, copy, or refer to those files at Meridian?</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33, 116, 118-120 [alleging striking similarity in structure, sequence, and organization]; meridian-cd-response.docx ¶ 11 [denying copyright infringement in its entirety].</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Directly probe Dr. Holt regarding the three specific source code files named in the copyright claim; elicit his sworn denial or explanation of whether he authored, accessed, or possessed copies of those specific firmware files.</w:t>
      </w:r>
    </w:p>
    <w:p>
      <w:pPr>
        <w:keepNext/>
        <w:spacing w:before="160" w:after="60" w:line="276" w:lineRule="auto"/>
      </w:pPr>
      <w:r>
        <w:rPr>
          <w:rFonts w:ascii="Calibri" w:hAnsi="Calibri"/>
          <w:b/>
          <w:color w:val="1A365D"/>
          <w:sz w:val="21"/>
        </w:rPr>
        <w:t xml:space="preserve">Q22. </w:t>
      </w:r>
      <w:r>
        <w:rPr>
          <w:rFonts w:ascii="Calibri" w:hAnsi="Calibri"/>
          <w:b/>
          <w:color w:val="2D3748"/>
          <w:sz w:val="21"/>
        </w:rPr>
        <w:t>SkyVault's copyright registration (TX 9-142-338) covers 'AeroCore Firmware Suite v2.0' and was issued on April 3, 2023. Did you ever work on, view, or possess AeroCore version 2.0, which appears to have been registered more than five years after you left SkyVault?</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35, 50, 117 [alleging registration TX 9-142-338 issued April 3, 2023 for v2.0]; meridian-cd-response.docx ¶ 11.</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an irreconcilable temporal gap in SkyVault's copyright claim: Dr. Holt departed in February 2018 and could not have accessed or copied a firmware version created and registered in 2023, requiring SkyVault to prove that v2.0 is identical to 2018 code.</w:t>
      </w:r>
    </w:p>
    <w:p>
      <w:pPr>
        <w:keepNext/>
        <w:spacing w:before="240" w:after="80"/>
      </w:pPr>
      <w:r>
        <w:rPr>
          <w:rFonts w:ascii="Calibri" w:hAnsi="Calibri"/>
          <w:b/>
          <w:color w:val="2B6CB0"/>
          <w:sz w:val="24"/>
        </w:rPr>
        <w:t>2.8 Patent Knowledge, Inventorship Inquiries, and Pre-Suit Notice</w:t>
      </w:r>
    </w:p>
    <w:p>
      <w:pPr>
        <w:keepNext/>
        <w:spacing w:before="160" w:after="60" w:line="276" w:lineRule="auto"/>
      </w:pPr>
      <w:r>
        <w:rPr>
          <w:rFonts w:ascii="Calibri" w:hAnsi="Calibri"/>
          <w:b/>
          <w:color w:val="1A365D"/>
          <w:sz w:val="21"/>
        </w:rPr>
        <w:t xml:space="preserve">Q23. </w:t>
      </w:r>
      <w:r>
        <w:rPr>
          <w:rFonts w:ascii="Calibri" w:hAnsi="Calibri"/>
          <w:b/>
          <w:color w:val="2D3748"/>
          <w:sz w:val="21"/>
        </w:rPr>
        <w:t>SkyVault's '561 Patent on multi-sensor obstacle avoidance was filed on March 14, 2017, naming CEO Dr. Rajan Mehta as the sole inventor. During your employment at SkyVault in March 2017, did you contribute to the subject matter of that patent application, and why were you not named as an inventor?</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28, 42, 64-73 [alleging '561 Patent filed 03/14/2017, issued 09/18/2018 to sole inventor Rajan Mehta]; holt-eciaa-agreement.docx Section 5.1-5.2 [invention assignment covenants during employment].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Investigate potential inventorship defects, derivation, or inequitable conduct; determine whether Dr. Holt was improperly omitted as an inventor on the '561 Patent while employed at SkyVault, which could impact patent validity or unenforceable ownership.</w:t>
      </w:r>
    </w:p>
    <w:p>
      <w:pPr>
        <w:keepNext/>
        <w:spacing w:before="160" w:after="60" w:line="276" w:lineRule="auto"/>
      </w:pPr>
      <w:r>
        <w:rPr>
          <w:rFonts w:ascii="Calibri" w:hAnsi="Calibri"/>
          <w:b/>
          <w:color w:val="1A365D"/>
          <w:sz w:val="21"/>
        </w:rPr>
        <w:t xml:space="preserve">Q24. </w:t>
      </w:r>
      <w:r>
        <w:rPr>
          <w:rFonts w:ascii="Calibri" w:hAnsi="Calibri"/>
          <w:b/>
          <w:color w:val="2D3748"/>
          <w:sz w:val="21"/>
        </w:rPr>
        <w:t>Regarding the '227 Patent (filed November 9, 2018) and the '889 Patent (filed June 22, 2020), both filed well after your departure from SkyVault: Prior to receiving the March 12, 2024 cease-and-desist letter, were you ever aware of those patent applications or their prosecution?</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29-30, 43-44, 78, 86 [alleging willful infringement based on Dr. Holt's alleged pre-existing knowledge]; meridian-cd-response.docx ¶ 10 [denying infringement of '227 and '889 patents].</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Directly refute SkyVault's allegations of willful infringement under 35 U.S.C. § 284; establish that Dr. Holt had no knowledge of post-employment patent filings until formal receipt of the March 2024 correspondence.</w:t>
      </w:r>
    </w:p>
    <w:p>
      <w:pPr>
        <w:keepNext/>
        <w:spacing w:before="160" w:after="60" w:line="276" w:lineRule="auto"/>
      </w:pPr>
      <w:r>
        <w:rPr>
          <w:rFonts w:ascii="Calibri" w:hAnsi="Calibri"/>
          <w:b/>
          <w:color w:val="1A365D"/>
          <w:sz w:val="21"/>
        </w:rPr>
        <w:t xml:space="preserve">Q25. </w:t>
      </w:r>
      <w:r>
        <w:rPr>
          <w:rFonts w:ascii="Calibri" w:hAnsi="Calibri"/>
          <w:b/>
          <w:color w:val="2D3748"/>
          <w:sz w:val="21"/>
        </w:rPr>
        <w:t>When outside counsel Laura Brackwell responded to SkyVault on April 5, 2024, denying infringement and refusing the $15 million demand, what role did you play in reviewing SkyVault's allegations, and what instructions did you receive regarding document preservation?</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7-18 [outside counsel response letter]; skyvault-complaint.docx ¶ 61-63 [alleging pre-suit notice and continued willful infringement].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that Dr. Holt acted in good faith upon receiving pre-suit notice, complied with corporate litigation holds, and relied on outside counsel's technical and legal assessments regarding non-infringement.</w:t>
      </w:r>
    </w:p>
    <w:p>
      <w:pPr>
        <w:keepNext/>
        <w:spacing w:before="320" w:after="120"/>
      </w:pPr>
      <w:r>
        <w:rPr>
          <w:rFonts w:ascii="Calibri" w:hAnsi="Calibri"/>
          <w:b/>
          <w:color w:val="1A365D"/>
          <w:sz w:val="28"/>
        </w:rPr>
        <w:t>SECTION III: WITNESS EXAMINATION OUTLINE — MERIDIAN TECHNICAL TEAM (MODULE ARCHITECTS &amp; LEAD DEVELOPERS)</w:t>
      </w:r>
    </w:p>
    <w:p>
      <w:pPr>
        <w:spacing w:before="0" w:after="120" w:line="276" w:lineRule="auto"/>
      </w:pPr>
      <w:r>
        <w:rPr>
          <w:rFonts w:ascii="Calibri" w:hAnsi="Calibri"/>
          <w:color w:val="2D3748"/>
          <w:sz w:val="21"/>
        </w:rPr>
        <w:t>The Meridian technical team comprises the lead system architects, embedded firmware engineers, and algorithm developers directly responsible for the ground-up implementation, testing, and deployment of the PathForge platform. In this round of interviews, the technical team's role is to establish an objective, verifiable engineering record of PathForge’s independent provenance, documenting the specific chronologies, architectural choices, and repository commit histories for each distinct modular component. Interviewing these witnesses independently from Dr. Holt will enable counsel to verify clean-room coding practices, trace third-party and open-source software integration, and establish clear technical boundaries between Dr. Holt’s high-level executive direction and actual codebase authorship.</w:t>
      </w:r>
    </w:p>
    <w:tbl>
      <w:tblPr>
        <w:tblW w:type="auto" w:w="0"/>
        <w:jc w:val="center"/>
        <w:tblLayout w:type="fixed"/>
        <w:tblLook w:firstColumn="1" w:firstRow="1" w:lastColumn="0" w:lastRow="0" w:noHBand="0" w:noVBand="1" w:val="04A0"/>
      </w:tblPr>
      <w:tblGrid>
        <w:gridCol w:w="9360"/>
      </w:tblGrid>
      <w:tr>
        <w:tc>
          <w:tcPr>
            <w:tcW w:type="dxa" w:w="9360"/>
            <w:shd w:fill="EDF2F7"/>
            <w:tcBorders>
              <w:top w:val="none"/>
              <w:left w:val="single" w:sz="36" w:space="0" w:color="1A365D"/>
              <w:bottom w:val="none"/>
              <w:right w:val="none"/>
            </w:tcBorders>
            <w:tcMar>
              <w:top w:w="140" w:type="dxa"/>
              <w:bottom w:w="140" w:type="dxa"/>
              <w:left w:w="180" w:type="dxa"/>
              <w:right w:w="180" w:type="dxa"/>
            </w:tcMar>
          </w:tcPr>
          <w:p>
            <w:pPr>
              <w:spacing w:before="0" w:after="0" w:line="276" w:lineRule="auto"/>
            </w:pPr>
            <w:r>
              <w:rPr>
                <w:rFonts w:ascii="Calibri" w:hAnsi="Calibri"/>
                <w:b/>
                <w:color w:val="1A365D"/>
                <w:sz w:val="20"/>
              </w:rPr>
              <w:t xml:space="preserve">INDEPENDENT CORROBORATION PROTOCOL: </w:t>
            </w:r>
            <w:r>
              <w:rPr>
                <w:rFonts w:ascii="Calibri" w:hAnsi="Calibri"/>
                <w:i/>
                <w:color w:val="2D3748"/>
                <w:sz w:val="20"/>
              </w:rPr>
              <w:t>ENGINEERING PROVENANCE MANDATE: Outside litigation counsel must examine module leads individually and outside the presence of Dr. Holt to prevent narrative conformity. Questions must methodically probe repository commit lineage, branching structures, pull request reviews, and continuous integration (CI) test logs. Every technical module must be analyzed as an independent engineering effort to defeat SkyVault's attempt to treat PathForge as a unitary clone of its AeroCore platform.</w:t>
            </w:r>
          </w:p>
        </w:tc>
      </w:tr>
    </w:tbl>
    <w:p>
      <w:pPr>
        <w:spacing w:before="0" w:after="80"/>
      </w:pPr>
    </w:p>
    <w:p>
      <w:pPr>
        <w:keepNext/>
        <w:spacing w:before="240" w:after="80"/>
      </w:pPr>
      <w:r>
        <w:rPr>
          <w:rFonts w:ascii="Calibri" w:hAnsi="Calibri"/>
          <w:b/>
          <w:color w:val="2B6CB0"/>
          <w:sz w:val="24"/>
        </w:rPr>
        <w:t>3.1 Engineering Onboarding, Repository Structure, and Clean-Room Standards</w:t>
      </w:r>
    </w:p>
    <w:p>
      <w:pPr>
        <w:keepNext/>
        <w:spacing w:before="160" w:after="60" w:line="276" w:lineRule="auto"/>
      </w:pPr>
      <w:r>
        <w:rPr>
          <w:rFonts w:ascii="Calibri" w:hAnsi="Calibri"/>
          <w:b/>
          <w:color w:val="1A365D"/>
          <w:sz w:val="21"/>
        </w:rPr>
        <w:t xml:space="preserve">Q26. </w:t>
      </w:r>
      <w:r>
        <w:rPr>
          <w:rFonts w:ascii="Calibri" w:hAnsi="Calibri"/>
          <w:b/>
          <w:color w:val="2D3748"/>
          <w:sz w:val="21"/>
        </w:rPr>
        <w:t>When you joined Meridian Dynamics, what instructions, policies, or guidelines were provided to you regarding the use of third-party source code, proprietary materials from prior employers, or open-source software libraries?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11 [asserting 'robust internal compliance processes designed to safeguard against the unauthorized use of third-party intellectual property']; skyvault-complaint.docx ¶ 55 [alleging Dr. Holt disclosed trade secrets to Meridian engineers].</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Verify the practical execution of Meridian's compliance policies on the engineering floor; prove that developers operated under clean-room principles and were strictly forbidden from introducing external proprietary code.</w:t>
      </w:r>
    </w:p>
    <w:p>
      <w:pPr>
        <w:keepNext/>
        <w:spacing w:before="160" w:after="60" w:line="276" w:lineRule="auto"/>
      </w:pPr>
      <w:r>
        <w:rPr>
          <w:rFonts w:ascii="Calibri" w:hAnsi="Calibri"/>
          <w:b/>
          <w:color w:val="1A365D"/>
          <w:sz w:val="21"/>
        </w:rPr>
        <w:t xml:space="preserve">Q27. </w:t>
      </w:r>
      <w:r>
        <w:rPr>
          <w:rFonts w:ascii="Calibri" w:hAnsi="Calibri"/>
          <w:b/>
          <w:color w:val="2D3748"/>
          <w:sz w:val="21"/>
        </w:rPr>
        <w:t>Please describe the architecture of Meridian's source code repositories from 2018 through 2022, including the version control systems utilized, repository naming conventions, access permissions, and how commit histories and branch merges were maintained.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15 [declining pre-suit source code audit]; skyvault-complaint.docx ¶ 61, 118-120 [alleging copyright infringement].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the structural integrity and complete chain of custody of Meridian's code repositories (e.g., Git/GitLab); verify that commit histories possess immutable cryptographic timestamps and author tags suitable for forensic verification.</w:t>
      </w:r>
    </w:p>
    <w:p>
      <w:pPr>
        <w:keepNext/>
        <w:spacing w:before="240" w:after="80"/>
      </w:pPr>
      <w:r>
        <w:rPr>
          <w:rFonts w:ascii="Calibri" w:hAnsi="Calibri"/>
          <w:b/>
          <w:color w:val="2B6CB0"/>
          <w:sz w:val="24"/>
        </w:rPr>
        <w:t>3.2 Multi-Sensor Fusion Module (White Paper Section 3 / Technology Pillar 1)</w:t>
      </w:r>
    </w:p>
    <w:p>
      <w:pPr>
        <w:keepNext/>
        <w:spacing w:before="160" w:after="60" w:line="276" w:lineRule="auto"/>
      </w:pPr>
      <w:r>
        <w:rPr>
          <w:rFonts w:ascii="Calibri" w:hAnsi="Calibri"/>
          <w:b/>
          <w:color w:val="1A365D"/>
          <w:sz w:val="21"/>
        </w:rPr>
        <w:t xml:space="preserve">Q28. </w:t>
      </w:r>
      <w:r>
        <w:rPr>
          <w:rFonts w:ascii="Calibri" w:hAnsi="Calibri"/>
          <w:b/>
          <w:color w:val="2D3748"/>
          <w:sz w:val="21"/>
        </w:rPr>
        <w:t>According to Section 7.2 of the White Paper, the multi-sensor fusion module was designed and prototyped between Q3 2018 and Q4 2019. Who were the primary engineers who authored this code, what was Dr. Holt's role, and what specific records document the initial commit dates?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3.1 (p. 3-4), Section 3.2 (p. 4-5), &amp; Section 7.2 (p. 10) [documenting Q3 2018 - Q4 2019 timeline]; skyvault-complaint.docx ¶ 38(a) (TS-1), ¶ 64-73 ('561 Patent).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Identify the individual software authors who wrote the sensor fusion codebase; prove that implementation began in late 2018 under identified engineers, rebutting SkyVault's claim that the code was copied from Dr. Holt's alleged February 2018 download.</w:t>
      </w:r>
    </w:p>
    <w:p>
      <w:pPr>
        <w:keepNext/>
        <w:spacing w:before="160" w:after="60" w:line="276" w:lineRule="auto"/>
      </w:pPr>
      <w:r>
        <w:rPr>
          <w:rFonts w:ascii="Calibri" w:hAnsi="Calibri"/>
          <w:b/>
          <w:color w:val="1A365D"/>
          <w:sz w:val="21"/>
        </w:rPr>
        <w:t xml:space="preserve">Q29. </w:t>
      </w:r>
      <w:r>
        <w:rPr>
          <w:rFonts w:ascii="Calibri" w:hAnsi="Calibri"/>
          <w:b/>
          <w:color w:val="2D3748"/>
          <w:sz w:val="21"/>
        </w:rPr>
        <w:t>Section 3.2 describes a 7-step obstacle avoidance pipeline implementing an Extended Kalman Filter (EKF) fusing LiDAR, stereo vision, IMU, and ultrasonic sensors with under 500-microsecond temporal alignment. How was this pipeline mathematically formulated and implemented in code?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3.1 &amp; Section 3.2 (Steps 1-7, p. 4-5); skyvault-complaint.docx, Table 1 (Claim 1[b], 1[f] of '561 Patent).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that the EKF state equations, covariance weighting matrices, and time-synchronization routines were derived independently by Meridian engineers, demonstrating substantial non-infringement defenses to the '561 Patent.</w:t>
      </w:r>
    </w:p>
    <w:p>
      <w:pPr>
        <w:keepNext/>
        <w:spacing w:before="160" w:after="60" w:line="276" w:lineRule="auto"/>
      </w:pPr>
      <w:r>
        <w:rPr>
          <w:rFonts w:ascii="Calibri" w:hAnsi="Calibri"/>
          <w:b/>
          <w:color w:val="1A365D"/>
          <w:sz w:val="21"/>
        </w:rPr>
        <w:t xml:space="preserve">Q30. </w:t>
      </w:r>
      <w:r>
        <w:rPr>
          <w:rFonts w:ascii="Calibri" w:hAnsi="Calibri"/>
          <w:b/>
          <w:color w:val="2D3748"/>
          <w:sz w:val="21"/>
        </w:rPr>
        <w:t>Section 3.3 presents performance benchmarks in Table 0, including a 99.7% detection rate, 38-millisecond latency, and 8-centimeter RMS accuracy. What testing protocols, telemetry logs, and flight records generated those figures, and where are the underlying test datasets stored?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3.3 (Table 0, p. 5); skyvault-complaint.docx ¶ 58 [relying on benchmarks to allege claim correspondence].</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Authenticate the empirical origin of the white paper's benchmark claims; establish that these metrics reflect genuine hardware flight testing conducted at Meridian test facilities rather than theoretical simulations derived from SkyVault data.</w:t>
      </w:r>
    </w:p>
    <w:p>
      <w:pPr>
        <w:keepNext/>
        <w:spacing w:before="240" w:after="80"/>
      </w:pPr>
      <w:r>
        <w:rPr>
          <w:rFonts w:ascii="Calibri" w:hAnsi="Calibri"/>
          <w:b/>
          <w:color w:val="2B6CB0"/>
          <w:sz w:val="24"/>
        </w:rPr>
        <w:t>3.3 GPS-Denied Navigation Module (White Paper Section 4 / Technology Pillar 2)</w:t>
      </w:r>
    </w:p>
    <w:p>
      <w:pPr>
        <w:keepNext/>
        <w:spacing w:before="160" w:after="60" w:line="276" w:lineRule="auto"/>
      </w:pPr>
      <w:r>
        <w:rPr>
          <w:rFonts w:ascii="Calibri" w:hAnsi="Calibri"/>
          <w:b/>
          <w:color w:val="1A365D"/>
          <w:sz w:val="21"/>
        </w:rPr>
        <w:t xml:space="preserve">Q31. </w:t>
      </w:r>
      <w:r>
        <w:rPr>
          <w:rFonts w:ascii="Calibri" w:hAnsi="Calibri"/>
          <w:b/>
          <w:color w:val="2D3748"/>
          <w:sz w:val="21"/>
        </w:rPr>
        <w:t>The White Paper indicates that the GPS-denied navigation module was developed between Q1 2019 and Q3 2020. Who designed and coded the visual-inertial odometry (VIO) pipeline, including the sliding-window optimization and keyframe management subsystems?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4.1 (p. 5), Section 4.2 (p. 6), &amp; Section 7.2 (p. 10) [Q1 2019 - Q3 2020 development chronology]; skyvault-complaint.docx ¶ 38(b) (TS-2), ¶ 74-81 ('227 Patent).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an affirmative chronology showing that VIO development occurred in 2019-2020, over a year after Dr. Holt left SkyVault; identify the specific software contributors and Git branch histories for the VIO engine.</w:t>
      </w:r>
    </w:p>
    <w:p>
      <w:pPr>
        <w:keepNext/>
        <w:spacing w:before="160" w:after="60" w:line="276" w:lineRule="auto"/>
      </w:pPr>
      <w:r>
        <w:rPr>
          <w:rFonts w:ascii="Calibri" w:hAnsi="Calibri"/>
          <w:b/>
          <w:color w:val="1A365D"/>
          <w:sz w:val="21"/>
        </w:rPr>
        <w:t xml:space="preserve">Q32. </w:t>
      </w:r>
      <w:r>
        <w:rPr>
          <w:rFonts w:ascii="Calibri" w:hAnsi="Calibri"/>
          <w:b/>
          <w:color w:val="2D3748"/>
          <w:sz w:val="21"/>
        </w:rPr>
        <w:t>Section 4.3 describes an 'adaptive flight path optimization algorithm' that integrates real-time localization uncertainty into trajectory planning. What algorithmic approach, objective cost functions, and constraints govern this replanner, and who wrote the code?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4.3 (p. 6-7); skyvault-complaint.docx ¶ 43, 76-77 [alleging infringement of '227 Patent Claims 1 and 9].</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Delineate the exact mathematical structure of PathForge's path replanner; demonstrate that it relies on uncertainty-biased heuristic search rather than the specific claim limitations of SkyVault's '227 Patent.</w:t>
      </w:r>
    </w:p>
    <w:p>
      <w:pPr>
        <w:keepNext/>
        <w:spacing w:before="160" w:after="60" w:line="276" w:lineRule="auto"/>
      </w:pPr>
      <w:r>
        <w:rPr>
          <w:rFonts w:ascii="Calibri" w:hAnsi="Calibri"/>
          <w:b/>
          <w:color w:val="1A365D"/>
          <w:sz w:val="21"/>
        </w:rPr>
        <w:t xml:space="preserve">Q33. </w:t>
      </w:r>
      <w:r>
        <w:rPr>
          <w:rFonts w:ascii="Calibri" w:hAnsi="Calibri"/>
          <w:b/>
          <w:color w:val="2D3748"/>
          <w:sz w:val="21"/>
        </w:rPr>
        <w:t>Table 1 of the White Paper reports benchmarks for GPS-denied navigation, including position drift under 0.5% and 45-minute flight durations. Were these benchmarks evaluated in real-world facilities such as utility tunnels or warehouses, and what engineering records document those flights?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4.4 (Table 1, p. 7); skyvault-complaint.docx ¶ 58.</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Corroborate independent development through contemporaneous field-testing logs; obtain flight telemetry data to demonstrate robust internal R&amp;D validation independent of any former competitor's technology.</w:t>
      </w:r>
    </w:p>
    <w:p>
      <w:pPr>
        <w:keepNext/>
        <w:spacing w:before="240" w:after="80"/>
      </w:pPr>
      <w:r>
        <w:rPr>
          <w:rFonts w:ascii="Calibri" w:hAnsi="Calibri"/>
          <w:b/>
          <w:color w:val="2B6CB0"/>
          <w:sz w:val="24"/>
        </w:rPr>
        <w:t>3.4 Swarm Coordination Protocol Module (White Paper Section 5 / Technology Pillar 3)</w:t>
      </w:r>
    </w:p>
    <w:p>
      <w:pPr>
        <w:keepNext/>
        <w:spacing w:before="160" w:after="60" w:line="276" w:lineRule="auto"/>
      </w:pPr>
      <w:r>
        <w:rPr>
          <w:rFonts w:ascii="Calibri" w:hAnsi="Calibri"/>
          <w:b/>
          <w:color w:val="1A365D"/>
          <w:sz w:val="21"/>
        </w:rPr>
        <w:t xml:space="preserve">Q34. </w:t>
      </w:r>
      <w:r>
        <w:rPr>
          <w:rFonts w:ascii="Calibri" w:hAnsi="Calibri"/>
          <w:b/>
          <w:color w:val="2D3748"/>
          <w:sz w:val="21"/>
        </w:rPr>
        <w:t>Section 7.2 of the White Paper states that the swarm coordination protocol was developed between Q2 2019 and Q1 2021. Who architected the wireless mesh networking, lightweight binary message protocol, and decentralized consensus algorithm?</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5.1 (p. 7), Section 5.2 (p. 8), &amp; Section 7.2 (p. 10); skyvault-complaint.docx ¶ 38(d) (TS-4), ¶ 82-89 ('889 Patent).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Prove that the swarm coordination module was initiated in mid-2019 and completed in 2021, entirely independent of Dr. Holt's pre-2018 work at SkyVault; identify the network protocol engineers who created the packet formats.</w:t>
      </w:r>
    </w:p>
    <w:p>
      <w:pPr>
        <w:keepNext/>
        <w:spacing w:before="160" w:after="60" w:line="276" w:lineRule="auto"/>
      </w:pPr>
      <w:r>
        <w:rPr>
          <w:rFonts w:ascii="Calibri" w:hAnsi="Calibri"/>
          <w:b/>
          <w:color w:val="1A365D"/>
          <w:sz w:val="21"/>
        </w:rPr>
        <w:t xml:space="preserve">Q35. </w:t>
      </w:r>
      <w:r>
        <w:rPr>
          <w:rFonts w:ascii="Calibri" w:hAnsi="Calibri"/>
          <w:b/>
          <w:color w:val="2D3748"/>
          <w:sz w:val="21"/>
        </w:rPr>
        <w:t>Section 5.3 describes collision avoidance between swarm members using local trajectory extrapolation and a priority-based deconfliction procedure. How is priority assigned, how are spatial conflict thresholds computed, and does the protocol require any central arbitrator?</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5.2 &amp; Section 5.3 (p. 8-9); skyvault-complaint.docx ¶ 84-85 [asserting infringement of '889 Patent Claims 1, 4, 15, and 22].</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structural and algorithmic differences between PathForge's decentralized, priority-indexed mesh protocol and the specific claim elements asserted under the '889 Patent.</w:t>
      </w:r>
    </w:p>
    <w:p>
      <w:pPr>
        <w:keepNext/>
        <w:spacing w:before="240" w:after="80"/>
      </w:pPr>
      <w:r>
        <w:rPr>
          <w:rFonts w:ascii="Calibri" w:hAnsi="Calibri"/>
          <w:b/>
          <w:color w:val="2B6CB0"/>
          <w:sz w:val="24"/>
        </w:rPr>
        <w:t>3.5 Analytics Dashboard and Hardware Integration Layer (Sections 6 &amp; 7.1)</w:t>
      </w:r>
    </w:p>
    <w:p>
      <w:pPr>
        <w:keepNext/>
        <w:spacing w:before="160" w:after="60" w:line="276" w:lineRule="auto"/>
      </w:pPr>
      <w:r>
        <w:rPr>
          <w:rFonts w:ascii="Calibri" w:hAnsi="Calibri"/>
          <w:b/>
          <w:color w:val="1A365D"/>
          <w:sz w:val="21"/>
        </w:rPr>
        <w:t xml:space="preserve">Q36. </w:t>
      </w:r>
      <w:r>
        <w:rPr>
          <w:rFonts w:ascii="Calibri" w:hAnsi="Calibri"/>
          <w:b/>
          <w:color w:val="2D3748"/>
          <w:sz w:val="21"/>
        </w:rPr>
        <w:t>Section 7.1 explains that PathForge is built around four modular components—Navigation Module, Swarm Coordination Module, Analytics Dashboard, and Hardware Integration Layer—which can be licensed independently. Are these modules maintained in separate repositories with distinct release cycles?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7.1 (p. 9-10) [describing modular architecture and independent licensing]; meridian-cd-response.docx ¶ 13 [refusing demand to cease commercial operations]; skyvault-complaint.docx ¶ 59 [alleging $50M cumulative revenue across platform].</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Document the technical modularity and separation of codebases; establish an evidentiary foundation to defeat SkyVault's entire-market-value damages theory by demonstrating that customer revenue is partitioned across non-accused modules (e.g., Analytics Dashboard, Hardware Integration Layer).</w:t>
      </w:r>
    </w:p>
    <w:p>
      <w:pPr>
        <w:keepNext/>
        <w:spacing w:before="240" w:after="80"/>
      </w:pPr>
      <w:r>
        <w:rPr>
          <w:rFonts w:ascii="Calibri" w:hAnsi="Calibri"/>
          <w:b/>
          <w:color w:val="2B6CB0"/>
          <w:sz w:val="24"/>
        </w:rPr>
        <w:t>3.6 Public and Open-Source Code Management (Testing 8 Operational Modes)</w:t>
      </w:r>
    </w:p>
    <w:p>
      <w:pPr>
        <w:keepNext/>
        <w:spacing w:before="160" w:after="60" w:line="276" w:lineRule="auto"/>
      </w:pPr>
      <w:r>
        <w:rPr>
          <w:rFonts w:ascii="Calibri" w:hAnsi="Calibri"/>
          <w:b/>
          <w:color w:val="1A365D"/>
          <w:sz w:val="21"/>
        </w:rPr>
        <w:t xml:space="preserve">Q37. </w:t>
      </w:r>
      <w:r>
        <w:rPr>
          <w:rFonts w:ascii="Calibri" w:hAnsi="Calibri"/>
          <w:b/>
          <w:color w:val="2D3748"/>
          <w:sz w:val="21"/>
        </w:rPr>
        <w:t>Regarding the open-source DroneNav GitHub repository (first committed August 15, 2017) cited in Section 2 and 4.2 of the White Paper, testing each mode: When did you become aware of DroneNav? Was it cited in design specs? Was it evaluated? Was any code cloned? Were any dependencies included in build scripts? Was any code modified? Is any DroneNav code used in production PathForge builds, or was it non-used?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2 (p. 2), Section 4.2 (p. 6), &amp; References (Item 2) [github.com/dronenav/dronenav]; skyvault-complaint.docx ¶ 29 ('227 Patent), ¶ 77.</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Conduct a forensic inquiry across all eight operational modes regarding DroneNav; prove that while DroneNav was evaluated as public prior art, Meridian's commercial VIO implementation was written independently from the ground up.</w:t>
      </w:r>
    </w:p>
    <w:p>
      <w:pPr>
        <w:keepNext/>
        <w:spacing w:before="160" w:after="60" w:line="276" w:lineRule="auto"/>
      </w:pPr>
      <w:r>
        <w:rPr>
          <w:rFonts w:ascii="Calibri" w:hAnsi="Calibri"/>
          <w:b/>
          <w:color w:val="1A365D"/>
          <w:sz w:val="21"/>
        </w:rPr>
        <w:t xml:space="preserve">Q38. </w:t>
      </w:r>
      <w:r>
        <w:rPr>
          <w:rFonts w:ascii="Calibri" w:hAnsi="Calibri"/>
          <w:b/>
          <w:color w:val="2D3748"/>
          <w:sz w:val="21"/>
        </w:rPr>
        <w:t>Regarding the academic papers cited in the White Paper—specifically Dr. Elena Vasquez (IEEE 2016), Nakamura &amp; Okonkwo (2015), and Ferreira et al. (2016)—testing each mode: Were these papers evaluated by the engineering team? Were their mathematical algorithms cloned or implemented? Were any third-party software dependencies derived from them included in PathForge? Were they modified, used, or non-used?</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Section 2 (p. 2), Section 3.1, Section 5.2, &amp; References (Items 1, 3, 4); skyvault-complaint.docx ¶ 28, 30, 38.</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Demonstrate that Meridian engineers studied published academic literature for theoretical concepts, which is standard, lawful scientific practice, while refuting any suggestion of unauthorized code copying.</w:t>
      </w:r>
    </w:p>
    <w:p>
      <w:pPr>
        <w:keepNext/>
        <w:spacing w:before="240" w:after="80"/>
      </w:pPr>
      <w:r>
        <w:rPr>
          <w:rFonts w:ascii="Calibri" w:hAnsi="Calibri"/>
          <w:b/>
          <w:color w:val="2B6CB0"/>
          <w:sz w:val="24"/>
        </w:rPr>
        <w:t>3.7 Direct Analysis of SkyVault AeroCore Allegations</w:t>
      </w:r>
    </w:p>
    <w:p>
      <w:pPr>
        <w:keepNext/>
        <w:spacing w:before="160" w:after="60" w:line="276" w:lineRule="auto"/>
      </w:pPr>
      <w:r>
        <w:rPr>
          <w:rFonts w:ascii="Calibri" w:hAnsi="Calibri"/>
          <w:b/>
          <w:color w:val="1A365D"/>
          <w:sz w:val="21"/>
        </w:rPr>
        <w:t xml:space="preserve">Q39. </w:t>
      </w:r>
      <w:r>
        <w:rPr>
          <w:rFonts w:ascii="Calibri" w:hAnsi="Calibri"/>
          <w:b/>
          <w:color w:val="2D3748"/>
          <w:sz w:val="21"/>
        </w:rPr>
        <w:t>In paragraph 33 and Count VI of the Complaint, SkyVault identifies three specific source code filenames from its AeroCore firmware: 'navfusion.c', 'pathoptengine.h', and 'swarm_proto.cpp.' Have you ever searched Meridian's repositories for those filenames, function names, or variable patterns, and have any such files ever existed within Meridian's codebase?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33, 116, 118-120 [alleging copyright infringement of specific source files]; meridian-cd-response.docx ¶ 11 [categorical denial].</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Perform a definitive factual verification of Meridian's repositories; establish that none of SkyVault's named files, structures, or source artifacts exist anywhere in PathForge's commit history, defeating the copyright claim.</w:t>
      </w:r>
    </w:p>
    <w:p>
      <w:pPr>
        <w:keepNext/>
        <w:spacing w:before="160" w:after="60" w:line="276" w:lineRule="auto"/>
      </w:pPr>
      <w:r>
        <w:rPr>
          <w:rFonts w:ascii="Calibri" w:hAnsi="Calibri"/>
          <w:b/>
          <w:color w:val="1A365D"/>
          <w:sz w:val="21"/>
        </w:rPr>
        <w:t xml:space="preserve">Q40. </w:t>
      </w:r>
      <w:r>
        <w:rPr>
          <w:rFonts w:ascii="Calibri" w:hAnsi="Calibri"/>
          <w:b/>
          <w:color w:val="2D3748"/>
          <w:sz w:val="21"/>
        </w:rPr>
        <w:t>What programming languages, frameworks, build systems, and target operating systems (e.g., C, C++, Rust, Python, ROS2, RTOS, Linux) are utilized across PathForge's modules, and how do they compare structurally to legacy C-based firmware like SkyVault's AeroCore?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33 [citing `.c`, `.h`, `.cpp` files in AeroCore]; pathforge-whitepaper-excerpt.docx Section 3.1, 5.2 [describing architecture].</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structural, architectural, and language-level divergence between PathForge and AeroCore; build an evidentiary record that PathForge is a modern, object-oriented or modular platform that cannot be a line-by-line derivative of SkyVault's legacy codebase.</w:t>
      </w:r>
    </w:p>
    <w:p>
      <w:pPr>
        <w:keepNext/>
        <w:spacing w:before="240" w:after="80"/>
      </w:pPr>
      <w:r>
        <w:rPr>
          <w:rFonts w:ascii="Calibri" w:hAnsi="Calibri"/>
          <w:b/>
          <w:color w:val="2B6CB0"/>
          <w:sz w:val="24"/>
        </w:rPr>
        <w:t>3.8 Technical Contributions and Review of the July 2022 White Paper</w:t>
      </w:r>
    </w:p>
    <w:p>
      <w:pPr>
        <w:keepNext/>
        <w:spacing w:before="160" w:after="60" w:line="276" w:lineRule="auto"/>
      </w:pPr>
      <w:r>
        <w:rPr>
          <w:rFonts w:ascii="Calibri" w:hAnsi="Calibri"/>
          <w:b/>
          <w:color w:val="1A365D"/>
          <w:sz w:val="21"/>
        </w:rPr>
        <w:t xml:space="preserve">Q41. </w:t>
      </w:r>
      <w:r>
        <w:rPr>
          <w:rFonts w:ascii="Calibri" w:hAnsi="Calibri"/>
          <w:b/>
          <w:color w:val="2D3748"/>
          <w:sz w:val="21"/>
        </w:rPr>
        <w:t>The July 2022 White Paper is credited to 'Dr. Marcus Holt, CTO and Co-Founder' and the 'PathForge Engineering Team.' What specific contributions did members of the engineering team make to writing, reviewing, or verifying the technical claims in that paper?</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pathforge-whitepaper-excerpt.docx, Title Page (p. 1); skyvault-complaint.docx ¶ 57-58, 84-85.</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Determine the division of authorship between Dr. Holt and the technical team; establish whether the white paper represents actual code constructs or simplified marketing diagrams prepared for prospective commercial customers.</w:t>
      </w:r>
    </w:p>
    <w:p>
      <w:pPr>
        <w:keepNext/>
        <w:spacing w:before="160" w:after="60" w:line="276" w:lineRule="auto"/>
      </w:pPr>
      <w:r>
        <w:rPr>
          <w:rFonts w:ascii="Calibri" w:hAnsi="Calibri"/>
          <w:b/>
          <w:color w:val="1A365D"/>
          <w:sz w:val="21"/>
        </w:rPr>
        <w:t xml:space="preserve">Q42. </w:t>
      </w:r>
      <w:r>
        <w:rPr>
          <w:rFonts w:ascii="Calibri" w:hAnsi="Calibri"/>
          <w:b/>
          <w:color w:val="2D3748"/>
          <w:sz w:val="21"/>
        </w:rPr>
        <w:t>Table 1 of SkyVault's Complaint quotes sections labeled 'Section 4.1 Threat Assessment Module' and 'Section 5.1 Flight Controller API.' In any internal engineering documentation, design review, or draft paper, did Meridian ever use those specific section titles or architectural designations?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Table 1 (Preliminary claim chart for '561 Patent); pathforge-whitepaper-excerpt.docx, Section 4 &amp; Section 5.</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Cross-verify Dr. Holt's testimony regarding SkyVault's erroneous citations; confirm with engineering leads whether SkyVault quoted an authentic internal Meridian document or whether the citation is an adversarial fabrication or misattribution.</w:t>
      </w:r>
    </w:p>
    <w:p>
      <w:pPr>
        <w:keepNext/>
        <w:spacing w:before="320" w:after="120"/>
      </w:pPr>
      <w:r>
        <w:rPr>
          <w:rFonts w:ascii="Calibri" w:hAnsi="Calibri"/>
          <w:b/>
          <w:color w:val="1A365D"/>
          <w:sz w:val="28"/>
        </w:rPr>
        <w:t>SECTION IV: WITNESS EXAMINATION OUTLINE — MERIDIAN LEGAL LEAD (JORDAN KESSLER, VP OF LEGAL)</w:t>
      </w:r>
    </w:p>
    <w:p>
      <w:pPr>
        <w:spacing w:before="0" w:after="120" w:line="276" w:lineRule="auto"/>
      </w:pPr>
      <w:r>
        <w:rPr>
          <w:rFonts w:ascii="Calibri" w:hAnsi="Calibri"/>
          <w:color w:val="2D3748"/>
          <w:sz w:val="21"/>
        </w:rPr>
        <w:t>Jordan Kessler, Vice President of Legal at Meridian Dynamics, serves as the primary corporate custodian of compliance records, governance policies, and pre-suit dispute communications. In this initial round of internal fact-finding, Mr. Kessler’s role is to provide discoverable factual testimony regarding Meridian’s corporate IP onboarding protocols, the factual receipt and handling of SkyVault's pre-suit correspondence, and the scope and implementation of corporate document preservation directives. Outside litigation counsel must conduct this examination to elicit discoverable factual occurrences while scrupulously walling off privileged legal advice, mental impressions, and internal defense strategies.</w:t>
      </w:r>
    </w:p>
    <w:tbl>
      <w:tblPr>
        <w:tblW w:type="auto" w:w="0"/>
        <w:jc w:val="center"/>
        <w:tblLayout w:type="fixed"/>
        <w:tblLook w:firstColumn="1" w:firstRow="1" w:lastColumn="0" w:lastRow="0" w:noHBand="0" w:noVBand="1" w:val="04A0"/>
      </w:tblPr>
      <w:tblGrid>
        <w:gridCol w:w="9360"/>
      </w:tblGrid>
      <w:tr>
        <w:tc>
          <w:tcPr>
            <w:tcW w:type="dxa" w:w="9360"/>
            <w:shd w:fill="EDF2F7"/>
            <w:tcBorders>
              <w:top w:val="none"/>
              <w:left w:val="single" w:sz="36" w:space="0" w:color="1A365D"/>
              <w:bottom w:val="none"/>
              <w:right w:val="none"/>
            </w:tcBorders>
            <w:tcMar>
              <w:top w:w="140" w:type="dxa"/>
              <w:bottom w:w="140" w:type="dxa"/>
              <w:left w:w="180" w:type="dxa"/>
              <w:right w:w="180" w:type="dxa"/>
            </w:tcMar>
          </w:tcPr>
          <w:p>
            <w:pPr>
              <w:spacing w:before="0" w:after="0" w:line="276" w:lineRule="auto"/>
            </w:pPr>
            <w:r>
              <w:rPr>
                <w:rFonts w:ascii="Calibri" w:hAnsi="Calibri"/>
                <w:b/>
                <w:color w:val="1A365D"/>
                <w:sz w:val="20"/>
              </w:rPr>
              <w:t xml:space="preserve">STRICT PRIVILEGE SAFEGUARD PROTOCOL: </w:t>
            </w:r>
            <w:r>
              <w:rPr>
                <w:rFonts w:ascii="Calibri" w:hAnsi="Calibri"/>
                <w:i/>
                <w:color w:val="2D3748"/>
                <w:sz w:val="20"/>
              </w:rPr>
              <w:t>ATTORNEY-CLIENT PRIVILEGE &amp; WORK-PRODUCT BOUNDARY DIRECTIVE: Outside litigation counsel must maintain a rigorous demarcation during Mr. Kessler's examination. Questions must strictly target discoverable factual events—such as the date a letter was received, who was notified, when litigation holds were distributed, which custodians were scoped, and what routine business compliance policies were in place. Counsel must NOT inquire into outside legal advice provided by Brackwell &amp; Haines LLP, internal attorney assessments of patent validity or infringement risk, litigation reserves, or mental impressions regarding case exposure.</w:t>
            </w:r>
          </w:p>
        </w:tc>
      </w:tr>
    </w:tbl>
    <w:p>
      <w:pPr>
        <w:spacing w:before="0" w:after="80"/>
      </w:pPr>
    </w:p>
    <w:p>
      <w:pPr>
        <w:keepNext/>
        <w:spacing w:before="240" w:after="80"/>
      </w:pPr>
      <w:r>
        <w:rPr>
          <w:rFonts w:ascii="Calibri" w:hAnsi="Calibri"/>
          <w:b/>
          <w:color w:val="2B6CB0"/>
          <w:sz w:val="24"/>
        </w:rPr>
        <w:t>4.1 Corporate IP Governance, Employee Onboarding, and Pre-Dispute Compliance Policies</w:t>
      </w:r>
    </w:p>
    <w:p>
      <w:pPr>
        <w:keepNext/>
        <w:spacing w:before="160" w:after="60" w:line="276" w:lineRule="auto"/>
      </w:pPr>
      <w:r>
        <w:rPr>
          <w:rFonts w:ascii="Calibri" w:hAnsi="Calibri"/>
          <w:b/>
          <w:color w:val="1A365D"/>
          <w:sz w:val="21"/>
        </w:rPr>
        <w:t xml:space="preserve">Q43. </w:t>
      </w:r>
      <w:r>
        <w:rPr>
          <w:rFonts w:ascii="Calibri" w:hAnsi="Calibri"/>
          <w:b/>
          <w:color w:val="2D3748"/>
          <w:sz w:val="21"/>
        </w:rPr>
        <w:t>What standard policies, employment agreements, and onboarding procedures did Meridian Dynamics maintain in April 2018—and throughout subsequent growth—to ensure that newly hired personnel did not bring, disclose, or use proprietary information from prior employers?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11 [asserting 'robust internal compliance processes designed to safeguard against the unauthorized use of third-party intellectual property']; skyvault-complaint.docx ¶ 10, 55 [alleging Meridian exploited trade secrets through Dr. Holt].</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discoverable factual corporate governance standards; obtain executed copies of Meridian's standard proprietary information and inventions agreements (PIIAs) and employee handbook compliance rules to substantiate Meridian's independent development defense.</w:t>
      </w:r>
    </w:p>
    <w:p>
      <w:pPr>
        <w:keepNext/>
        <w:spacing w:before="160" w:after="60" w:line="276" w:lineRule="auto"/>
      </w:pPr>
      <w:r>
        <w:rPr>
          <w:rFonts w:ascii="Calibri" w:hAnsi="Calibri"/>
          <w:b/>
          <w:color w:val="1A365D"/>
          <w:sz w:val="21"/>
        </w:rPr>
        <w:t xml:space="preserve">Q44. </w:t>
      </w:r>
      <w:r>
        <w:rPr>
          <w:rFonts w:ascii="Calibri" w:hAnsi="Calibri"/>
          <w:b/>
          <w:color w:val="2D3748"/>
          <w:sz w:val="21"/>
        </w:rPr>
        <w:t>When Dr. Marcus Holt co-founded Meridian in April 2018, what factual inquiries or documentation reviews did the company conduct regarding his former employment agreements, including the ECIAA with SkyVault and its Exhibit A prior inventions disclosure?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holt-eciaa-agreement.docx, Section 3.1, 5.3, 7.1, &amp; Exhibit A; skyvault-complaint.docx ¶ 45-47, 53-55; meridian-cd-response.docx ¶ 11.</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Document Meridian's pre-dispute diligence and good faith; establish that Meridian was aware of Dr. Holt's ECIAA covenants and affirmatively structured his engineering responsibilities to respect contractual boundaries, refuting SkyVault's tortious interference and intentional inducement claims.</w:t>
      </w:r>
    </w:p>
    <w:p>
      <w:pPr>
        <w:keepNext/>
        <w:spacing w:before="240" w:after="80"/>
      </w:pPr>
      <w:r>
        <w:rPr>
          <w:rFonts w:ascii="Calibri" w:hAnsi="Calibri"/>
          <w:b/>
          <w:color w:val="2B6CB0"/>
          <w:sz w:val="24"/>
        </w:rPr>
        <w:t>4.2 Receipt, Routing, and Initial Factual Handling of Pre-Suit Correspondence</w:t>
      </w:r>
    </w:p>
    <w:p>
      <w:pPr>
        <w:keepNext/>
        <w:spacing w:before="160" w:after="60" w:line="276" w:lineRule="auto"/>
      </w:pPr>
      <w:r>
        <w:rPr>
          <w:rFonts w:ascii="Calibri" w:hAnsi="Calibri"/>
          <w:b/>
          <w:color w:val="1A365D"/>
          <w:sz w:val="21"/>
        </w:rPr>
        <w:t xml:space="preserve">Q45. </w:t>
      </w:r>
      <w:r>
        <w:rPr>
          <w:rFonts w:ascii="Calibri" w:hAnsi="Calibri"/>
          <w:b/>
          <w:color w:val="2D3748"/>
          <w:sz w:val="21"/>
        </w:rPr>
        <w:t>Factually, on what date and through what delivery channel did Meridian first receive the March 12, 2024 cease-and-desist letter from Callister, Voss &amp; Greenbaum LLP, and who within corporate leadership was provided a copy?</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61 [alleging C&amp;D letter sent 03/12/2024 to CEO Priya Chandrasekaran]; meridian-cd-response.docx ¶ 7, 9, 25 [cc'ing Jordan Kessler, VP of Legal].</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the exact discoverable timeline of notice; document the physical receipt and chain of custody of the unprovided March 12, 2024 correspondence, confirming whether any attachments or claim charts were enclosed.</w:t>
      </w:r>
    </w:p>
    <w:p>
      <w:pPr>
        <w:keepNext/>
        <w:spacing w:before="160" w:after="60" w:line="276" w:lineRule="auto"/>
      </w:pPr>
      <w:r>
        <w:rPr>
          <w:rFonts w:ascii="Calibri" w:hAnsi="Calibri"/>
          <w:b/>
          <w:color w:val="1A365D"/>
          <w:sz w:val="21"/>
        </w:rPr>
        <w:t xml:space="preserve">Q46. </w:t>
      </w:r>
      <w:r>
        <w:rPr>
          <w:rFonts w:ascii="Calibri" w:hAnsi="Calibri"/>
          <w:b/>
          <w:color w:val="2D3748"/>
          <w:sz w:val="21"/>
        </w:rPr>
        <w:t>Following receipt of the March 12 letter, what factual steps did Meridian take to engage outside counsel, and on what date was Laura Brackwell of Brackwell &amp; Haines LLP formally retained to represent the company in this dispute?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1-4, 19-25 [response letter dated April 5, 2024, signed by Laura Brackwell]; skyvault-complaint.docx ¶ 61-62.</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Document the discoverable fact of retaining outside counsel; establish the formal engagement timeline leading to the April 5 response letter, strictly omitting privileged communications regarding legal analysis.</w:t>
      </w:r>
    </w:p>
    <w:p>
      <w:pPr>
        <w:keepNext/>
        <w:spacing w:before="160" w:after="60" w:line="276" w:lineRule="auto"/>
      </w:pPr>
      <w:r>
        <w:rPr>
          <w:rFonts w:ascii="Calibri" w:hAnsi="Calibri"/>
          <w:b/>
          <w:color w:val="1A365D"/>
          <w:sz w:val="21"/>
        </w:rPr>
        <w:t xml:space="preserve">Q47. </w:t>
      </w:r>
      <w:r>
        <w:rPr>
          <w:rFonts w:ascii="Calibri" w:hAnsi="Calibri"/>
          <w:b/>
          <w:color w:val="2D3748"/>
          <w:sz w:val="21"/>
        </w:rPr>
        <w:t>Did SkyVault, its principals, or its attorneys make any direct contact with Meridian officers, board members, or employees between April 5, 2024, and the filing of the Complaint on October 2, 2024, outside of counsel-to-counsel communications?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18 [specifically demanding that SkyVault and its counsel refrain from contacting officers/employees directly]; skyvault-complaint.docx ¶ 61-63, 230-234.</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Verify whether SkyVault respected Meridian's formal representation notice; determine if any improper ex parte contacts occurred or if SkyVault maintained complete silence during the six-month period preceding the lawsuit.</w:t>
      </w:r>
    </w:p>
    <w:p>
      <w:pPr>
        <w:keepNext/>
        <w:spacing w:before="240" w:after="80"/>
      </w:pPr>
      <w:r>
        <w:rPr>
          <w:rFonts w:ascii="Calibri" w:hAnsi="Calibri"/>
          <w:b/>
          <w:color w:val="2B6CB0"/>
          <w:sz w:val="24"/>
        </w:rPr>
        <w:t>4.3 Litigation Hold Implementation, Preservation Scoping, and Custodian Tracking</w:t>
      </w:r>
    </w:p>
    <w:p>
      <w:pPr>
        <w:keepNext/>
        <w:spacing w:before="160" w:after="60" w:line="276" w:lineRule="auto"/>
      </w:pPr>
      <w:r>
        <w:rPr>
          <w:rFonts w:ascii="Calibri" w:hAnsi="Calibri"/>
          <w:b/>
          <w:color w:val="1A365D"/>
          <w:sz w:val="21"/>
        </w:rPr>
        <w:t xml:space="preserve">Q48. </w:t>
      </w:r>
      <w:r>
        <w:rPr>
          <w:rFonts w:ascii="Calibri" w:hAnsi="Calibri"/>
          <w:b/>
          <w:color w:val="2D3748"/>
          <w:sz w:val="21"/>
        </w:rPr>
        <w:t>On what date was a formal written litigation hold first issued to Meridian personnel, what employees were designated as custodians, and what electronic systems (e.g., email, Slack, Git, Jira, cloud storage) were included in the hold directive?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9, 16 [acknowledging dispute and reserving rights]; skyvault-complaint.docx ¶ 61-63.</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Establish that Meridian satisfied its common law duty to preserve evidence upon receiving reasonable notice of a dispute in March 2024; prepare a discoverable defensible preservation audit trail to protect against any future spoliation motions.</w:t>
      </w:r>
    </w:p>
    <w:p>
      <w:pPr>
        <w:keepNext/>
        <w:spacing w:before="160" w:after="60" w:line="276" w:lineRule="auto"/>
      </w:pPr>
      <w:r>
        <w:rPr>
          <w:rFonts w:ascii="Calibri" w:hAnsi="Calibri"/>
          <w:b/>
          <w:color w:val="1A365D"/>
          <w:sz w:val="21"/>
        </w:rPr>
        <w:t xml:space="preserve">Q49. </w:t>
      </w:r>
      <w:r>
        <w:rPr>
          <w:rFonts w:ascii="Calibri" w:hAnsi="Calibri"/>
          <w:b/>
          <w:color w:val="2D3748"/>
          <w:sz w:val="21"/>
        </w:rPr>
        <w:t>What specific procedures were implemented to monitor compliance with the litigation hold, including signed acknowledgments, suspension of auto-deletion policies, and IT-level forensic snapshots of key repositories and custodian laptops?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11, 15; skyvault-complaint.docx ¶ 48, 118-120.</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Demonstrate proactive, robust preservation governance; confirm that Dr. Holt's, Ms. Chandrasekaran's, and lead engineers' electronic accounts and physical hardware were timely imaged or locked.</w:t>
      </w:r>
    </w:p>
    <w:p>
      <w:pPr>
        <w:keepNext/>
        <w:spacing w:before="240" w:after="80"/>
      </w:pPr>
      <w:r>
        <w:rPr>
          <w:rFonts w:ascii="Calibri" w:hAnsi="Calibri"/>
          <w:b/>
          <w:color w:val="2B6CB0"/>
          <w:sz w:val="24"/>
        </w:rPr>
        <w:t>4.4 Open-Source Software Compliance, Audits, and Ordinary-Course Clearance</w:t>
      </w:r>
    </w:p>
    <w:p>
      <w:pPr>
        <w:keepNext/>
        <w:spacing w:before="160" w:after="60" w:line="276" w:lineRule="auto"/>
      </w:pPr>
      <w:r>
        <w:rPr>
          <w:rFonts w:ascii="Calibri" w:hAnsi="Calibri"/>
          <w:b/>
          <w:color w:val="1A365D"/>
          <w:sz w:val="21"/>
        </w:rPr>
        <w:t xml:space="preserve">Q50. </w:t>
      </w:r>
      <w:r>
        <w:rPr>
          <w:rFonts w:ascii="Calibri" w:hAnsi="Calibri"/>
          <w:b/>
          <w:color w:val="2D3748"/>
          <w:sz w:val="21"/>
        </w:rPr>
        <w:t>In the ordinary course of business, what automated tools or third-party audits (e.g., Black Duck, FOSSA, SonarQube, WhiteSource) has Meridian utilized to scan PathForge codebases for open-source license compliance and third-party code provenance?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11 [asserting robust internal compliance processes]; pathforge-whitepaper-excerpt.docx Section 2, References.</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Obtain discoverable, objective Software Composition Analysis (SCA) scan logs; prove through automated third-party tools that PathForge code is free from foreign proprietary contamination and complies with open-source licensing.</w:t>
      </w:r>
    </w:p>
    <w:p>
      <w:pPr>
        <w:keepNext/>
        <w:spacing w:before="160" w:after="60" w:line="276" w:lineRule="auto"/>
      </w:pPr>
      <w:r>
        <w:rPr>
          <w:rFonts w:ascii="Calibri" w:hAnsi="Calibri"/>
          <w:b/>
          <w:color w:val="1A365D"/>
          <w:sz w:val="21"/>
        </w:rPr>
        <w:t xml:space="preserve">Q51. </w:t>
      </w:r>
      <w:r>
        <w:rPr>
          <w:rFonts w:ascii="Calibri" w:hAnsi="Calibri"/>
          <w:b/>
          <w:color w:val="2D3748"/>
          <w:sz w:val="21"/>
        </w:rPr>
        <w:t>Prior to the March 12, 2024 correspondence, did Meridian conduct or commission any factual patent landscape searches or freedom-to-operate (FTO) reviews regarding autonomous drone navigation or sensor fusion?</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meridian-cd-response.docx ¶ 10 [addressing patents-in-suit]; skyvault-complaint.docx ¶ 27-30.</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Identify discoverable factual prior art searches conducted in the ordinary course, while strictly maintaining work-product and attorney-client privilege over any legal clearance opinions.</w:t>
      </w:r>
    </w:p>
    <w:p>
      <w:pPr>
        <w:keepNext/>
        <w:spacing w:before="240" w:after="80"/>
      </w:pPr>
      <w:r>
        <w:rPr>
          <w:rFonts w:ascii="Calibri" w:hAnsi="Calibri"/>
          <w:b/>
          <w:color w:val="2B6CB0"/>
          <w:sz w:val="24"/>
        </w:rPr>
        <w:t>4.5 Device and Account Governance Regarding Dr. Marcus Holt</w:t>
      </w:r>
    </w:p>
    <w:p>
      <w:pPr>
        <w:keepNext/>
        <w:spacing w:before="160" w:after="60" w:line="276" w:lineRule="auto"/>
      </w:pPr>
      <w:r>
        <w:rPr>
          <w:rFonts w:ascii="Calibri" w:hAnsi="Calibri"/>
          <w:b/>
          <w:color w:val="1A365D"/>
          <w:sz w:val="21"/>
        </w:rPr>
        <w:t xml:space="preserve">Q52. </w:t>
      </w:r>
      <w:r>
        <w:rPr>
          <w:rFonts w:ascii="Calibri" w:hAnsi="Calibri"/>
          <w:b/>
          <w:color w:val="2D3748"/>
          <w:sz w:val="21"/>
        </w:rPr>
        <w:t>What company-owned laptops, workstations, or external storage devices were issued to Dr. Marcus Holt upon his employment, and what corporate policies govern the connection of personal USB media to Meridian systems?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exhibit-f-forensic-log.xlsx, Sheet 'Forensic Log', Rows 33-35 [referencing USB device VID_0781&amp;PID_5581]; skyvault-complaint.docx ¶ 48, 52.</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Prove that Meridian enforces strict endpoint security policies preventing unauthorized USB usage, refuting any suggestion that Dr. Holt plugged an unauthorized personal drive into Meridian networks.</w:t>
      </w:r>
    </w:p>
    <w:p>
      <w:pPr>
        <w:keepNext/>
        <w:spacing w:before="160" w:after="60" w:line="276" w:lineRule="auto"/>
      </w:pPr>
      <w:r>
        <w:rPr>
          <w:rFonts w:ascii="Calibri" w:hAnsi="Calibri"/>
          <w:b/>
          <w:color w:val="1A365D"/>
          <w:sz w:val="21"/>
        </w:rPr>
        <w:t xml:space="preserve">Q53. </w:t>
      </w:r>
      <w:r>
        <w:rPr>
          <w:rFonts w:ascii="Calibri" w:hAnsi="Calibri"/>
          <w:b/>
          <w:color w:val="2D3748"/>
          <w:sz w:val="21"/>
        </w:rPr>
        <w:t>Has Meridian's IT or legal department conducted a forensic inspection or imaging of Dr. Holt's corporate devices and email accounts since receiving the March 12, 2024 demand letter, and what is the current preservation status of those images?</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48, 54; meridian-cd-response.docx ¶ 15.</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Confirm that defense counsel has secure forensic custody of Dr. Holt's work environment, establishing baseline readiness for mutual electronic discovery under Federal Rule of Civil Procedure 26.</w:t>
      </w:r>
    </w:p>
    <w:p>
      <w:pPr>
        <w:keepNext/>
        <w:spacing w:before="240" w:after="80"/>
      </w:pPr>
      <w:r>
        <w:rPr>
          <w:rFonts w:ascii="Calibri" w:hAnsi="Calibri"/>
          <w:b/>
          <w:color w:val="2B6CB0"/>
          <w:sz w:val="24"/>
        </w:rPr>
        <w:t>4.6 Pre-Suit Notice Timeline, Laches, and Statute of Limitations Facts</w:t>
      </w:r>
    </w:p>
    <w:p>
      <w:pPr>
        <w:keepNext/>
        <w:spacing w:before="160" w:after="60" w:line="276" w:lineRule="auto"/>
      </w:pPr>
      <w:r>
        <w:rPr>
          <w:rFonts w:ascii="Calibri" w:hAnsi="Calibri"/>
          <w:b/>
          <w:color w:val="1A365D"/>
          <w:sz w:val="21"/>
        </w:rPr>
        <w:t xml:space="preserve">Q54. </w:t>
      </w:r>
      <w:r>
        <w:rPr>
          <w:rFonts w:ascii="Calibri" w:hAnsi="Calibri"/>
          <w:b/>
          <w:color w:val="2D3748"/>
          <w:sz w:val="21"/>
        </w:rPr>
        <w:t>Between April 2018 and March 12, 2024, did Meridian participate in public trade shows, industry conferences (e.g., AUVSI XPONENTIAL, CES), or regulatory working groups where SkyVault representatives or Dr. Rajan Mehta were in attendance?</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56-60 [alleging commercial launch in Sept 2020 and customer base &gt;60 operators]; pathforge-whitepaper-excerpt.docx Section 1.</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Develop discoverable factual evidence of SkyVault's actual or constructive knowledge of PathForge years prior to March 2024, building the factual foundation for laches, equitable estoppel, and statute of limitations defenses.</w:t>
      </w:r>
    </w:p>
    <w:p>
      <w:pPr>
        <w:keepNext/>
        <w:spacing w:before="160" w:after="60" w:line="276" w:lineRule="auto"/>
      </w:pPr>
      <w:r>
        <w:rPr>
          <w:rFonts w:ascii="Calibri" w:hAnsi="Calibri"/>
          <w:b/>
          <w:color w:val="1A365D"/>
          <w:sz w:val="21"/>
        </w:rPr>
        <w:t xml:space="preserve">Q55. </w:t>
      </w:r>
      <w:r>
        <w:rPr>
          <w:rFonts w:ascii="Calibri" w:hAnsi="Calibri"/>
          <w:b/>
          <w:color w:val="2D3748"/>
          <w:sz w:val="21"/>
        </w:rPr>
        <w:t>In paragraph 109 of the Complaint, SkyVault alleges that it 'first discovered the misappropriation of its trade secrets upon reviewing Meridian's PathForge white paper published in or about July 2022.' Does Meridian possess any factual records, inquiries, or communications showing that SkyVault was aware of Meridian's products or Dr. Holt's role well before July 2022?</w:t>
      </w:r>
    </w:p>
    <w:p>
      <w:pPr>
        <w:keepNext/>
        <w:spacing w:before="20" w:after="40" w:line="264" w:lineRule="auto"/>
        <w:ind w:left="360"/>
      </w:pPr>
      <w:r>
        <w:rPr>
          <w:rFonts w:ascii="Calibri" w:hAnsi="Calibri"/>
          <w:b/>
          <w:color w:val="2B6CB0"/>
          <w:sz w:val="19"/>
        </w:rPr>
        <w:t xml:space="preserve">Source: </w:t>
      </w:r>
      <w:r>
        <w:rPr>
          <w:rFonts w:ascii="Calibri" w:hAnsi="Calibri"/>
          <w:color w:val="2D3748"/>
          <w:sz w:val="19"/>
        </w:rPr>
        <w:t>skyvault-complaint.docx ¶ 109 [delayed discovery allegation]; exhibit-f-forensic-log.xlsx, Sheet 'Report Metadata' (Report dated March 5, 2018) &amp; Sheet 'Forensic Log', Row 50 [matter referred to legal counsel Callister, Voss &amp; Greenbaum LLP on Feb 16, 2018].</w:t>
      </w:r>
    </w:p>
    <w:p>
      <w:pPr>
        <w:spacing w:before="20" w:after="120" w:line="264" w:lineRule="auto"/>
        <w:ind w:left="360"/>
      </w:pPr>
      <w:r>
        <w:rPr>
          <w:rFonts w:ascii="Calibri" w:hAnsi="Calibri"/>
          <w:b/>
          <w:color w:val="2B6CB0"/>
          <w:sz w:val="19"/>
        </w:rPr>
        <w:t xml:space="preserve">Evidentiary purpose: </w:t>
      </w:r>
      <w:r>
        <w:rPr>
          <w:rFonts w:ascii="Calibri" w:hAnsi="Calibri"/>
          <w:color w:val="2D3748"/>
          <w:sz w:val="19"/>
        </w:rPr>
        <w:t>Dismantle SkyVault's fraudulent-concealment and delayed-discovery arguments under TUTSA (Tex. Civ. Prac. &amp; Rem. Code § 134A.007) and DTSA (18 U.S.C. § 1836(d)), proving that SkyVault had forensic knowledge in March 2018 and sat on its claims for over six years.</w:t>
      </w:r>
    </w:p>
    <w:p>
      <w:pPr>
        <w:keepNext/>
        <w:spacing w:before="320" w:after="120"/>
      </w:pPr>
      <w:r>
        <w:rPr>
          <w:rFonts w:ascii="Calibri" w:hAnsi="Calibri"/>
          <w:b/>
          <w:color w:val="1A365D"/>
          <w:sz w:val="28"/>
        </w:rPr>
        <w:t>SECTION V: RECOMMENDED INTERVIEW SEQUENCING AND CROSS-VERIFICATION STRATEGY</w:t>
      </w:r>
    </w:p>
    <w:p>
      <w:pPr>
        <w:spacing w:before="0" w:after="120" w:line="276" w:lineRule="auto"/>
      </w:pPr>
      <w:r>
        <w:rPr>
          <w:rFonts w:ascii="Calibri" w:hAnsi="Calibri"/>
          <w:b/>
          <w:color w:val="2D3748"/>
          <w:sz w:val="21"/>
        </w:rPr>
        <w:t xml:space="preserve">Investigative Rationale: </w:t>
      </w:r>
      <w:r>
        <w:rPr>
          <w:rFonts w:ascii="Calibri" w:hAnsi="Calibri"/>
          <w:color w:val="2D3748"/>
          <w:sz w:val="21"/>
        </w:rPr>
        <w:t>A critical strategic determination in conducting an internal factual investigation is the sequencing of witness examinations. The order in which witnesses are interviewed directly governs counsel's ability to verify assertions against objective records, protect attorney-client privilege, prevent witness collusion or narrative adaptation, and progressively build factual leverage. Based on the evidentiary status of the available materials, the scope of privilege, and the comparative knowledge of the witnesses, the defense team recommends the following three-stage investigative sequence:</w:t>
      </w:r>
    </w:p>
    <w:p>
      <w:pPr>
        <w:keepNext/>
        <w:spacing w:before="240" w:after="80"/>
      </w:pPr>
      <w:r>
        <w:rPr>
          <w:rFonts w:ascii="Calibri" w:hAnsi="Calibri"/>
          <w:b/>
          <w:color w:val="2B6CB0"/>
          <w:sz w:val="24"/>
        </w:rPr>
        <w:t>5.1 Recommended Investigative Sequence Overview</w:t>
      </w:r>
    </w:p>
    <w:p>
      <w:pPr>
        <w:spacing w:before="0" w:after="120" w:line="276" w:lineRule="auto"/>
      </w:pPr>
      <w:r>
        <w:rPr>
          <w:rFonts w:ascii="Calibri" w:hAnsi="Calibri"/>
          <w:b/>
          <w:color w:val="2D3748"/>
          <w:sz w:val="21"/>
        </w:rPr>
        <w:t xml:space="preserve">Sequential Order: </w:t>
      </w:r>
      <w:r>
        <w:rPr>
          <w:rFonts w:ascii="Calibri" w:hAnsi="Calibri"/>
          <w:color w:val="2D3748"/>
          <w:sz w:val="21"/>
        </w:rPr>
        <w:t>Stage 1 (FIRST): Meridian Legal Lead (Jordan Kessler, VP of Legal)</w:t>
        <w:br/>
        <w:t>Stage 2 (SECOND): Meridian Technical Team (Module Architects &amp; Lead Developers)</w:t>
        <w:br/>
        <w:t>Stage 3 (LAST): Dr. Marcus Holt (Chief Technology Officer &amp; Co-Founder)</w:t>
      </w:r>
    </w:p>
    <w:tbl>
      <w:tblPr>
        <w:tblW w:type="auto" w:w="0"/>
        <w:jc w:val="center"/>
        <w:tblLayout w:type="fixed"/>
        <w:tblLook w:firstColumn="1" w:firstRow="1" w:lastColumn="0" w:lastRow="0" w:noHBand="0" w:noVBand="1" w:val="04A0"/>
      </w:tblPr>
      <w:tblGrid>
        <w:gridCol w:w="9360"/>
      </w:tblGrid>
      <w:tr>
        <w:tc>
          <w:tcPr>
            <w:tcW w:type="dxa" w:w="9360"/>
            <w:shd w:fill="EDF2F7"/>
            <w:tcBorders>
              <w:top w:val="none"/>
              <w:left w:val="single" w:sz="36" w:space="0" w:color="1A365D"/>
              <w:bottom w:val="none"/>
              <w:right w:val="none"/>
            </w:tcBorders>
            <w:tcMar>
              <w:top w:w="140" w:type="dxa"/>
              <w:bottom w:w="140" w:type="dxa"/>
              <w:left w:w="180" w:type="dxa"/>
              <w:right w:w="180" w:type="dxa"/>
            </w:tcMar>
          </w:tcPr>
          <w:p>
            <w:pPr>
              <w:spacing w:before="0" w:after="0" w:line="276" w:lineRule="auto"/>
            </w:pPr>
            <w:r>
              <w:rPr>
                <w:rFonts w:ascii="Calibri" w:hAnsi="Calibri"/>
                <w:b/>
                <w:color w:val="1A365D"/>
                <w:sz w:val="20"/>
              </w:rPr>
              <w:t xml:space="preserve">CORE SEQUENCING METHODOLOGY: </w:t>
            </w:r>
            <w:r>
              <w:rPr>
                <w:rFonts w:ascii="Calibri" w:hAnsi="Calibri"/>
                <w:i/>
                <w:color w:val="2D3748"/>
                <w:sz w:val="20"/>
              </w:rPr>
              <w:t>STRATEGIC JUSTIFICATION SUMMARY: Interviewing the Legal Lead first establishes an uncompromised document preservation baseline, secures corporate governance records, and identifies the relevant technical contributors without intruding into privileged legal opinions. Interviewing the Technical Team second establishes an objective, code-level record of independent development, commit histories, and open-source usage directly from the developers who wrote the software. Interviewing Dr. Marcus Holt last ensures that counsel possesses complete mastery over the objective documentary and codebase record, maximizing cross-examination leverage and preventing Dr. Holt from tailoring his testimony regarding the contested February 2018 forensic events.</w:t>
            </w:r>
          </w:p>
        </w:tc>
      </w:tr>
    </w:tbl>
    <w:p>
      <w:pPr>
        <w:spacing w:before="0" w:after="80"/>
      </w:pPr>
    </w:p>
    <w:p>
      <w:pPr>
        <w:keepNext/>
        <w:spacing w:before="240" w:after="80"/>
      </w:pPr>
      <w:r>
        <w:rPr>
          <w:rFonts w:ascii="Calibri" w:hAnsi="Calibri"/>
          <w:b/>
          <w:color w:val="2B6CB0"/>
          <w:sz w:val="24"/>
        </w:rPr>
        <w:t>5.2 Detailed Step-by-Step Rationale and Cross-Verification Mechanics</w:t>
      </w:r>
    </w:p>
    <w:p>
      <w:pPr>
        <w:keepNext/>
        <w:spacing w:before="160" w:after="40"/>
      </w:pPr>
      <w:r>
        <w:rPr>
          <w:rFonts w:ascii="Calibri" w:hAnsi="Calibri"/>
          <w:b/>
          <w:i/>
          <w:color w:val="2D3748"/>
          <w:sz w:val="22"/>
        </w:rPr>
        <w:t>Stage 1 (First): Meridian Legal Lead (Jordan Kessler, VP of Legal)</w:t>
      </w:r>
    </w:p>
    <w:p>
      <w:pPr>
        <w:spacing w:before="0" w:after="120" w:line="276" w:lineRule="auto"/>
      </w:pPr>
      <w:r>
        <w:rPr>
          <w:rFonts w:ascii="Calibri" w:hAnsi="Calibri"/>
          <w:b/>
          <w:color w:val="2D3748"/>
          <w:sz w:val="21"/>
        </w:rPr>
        <w:t xml:space="preserve">Foundational Role: </w:t>
      </w:r>
      <w:r>
        <w:rPr>
          <w:rFonts w:ascii="Calibri" w:hAnsi="Calibri"/>
          <w:color w:val="2D3748"/>
          <w:sz w:val="21"/>
        </w:rPr>
        <w:t>Examining Mr. Kessler as the opening interview serves three indispensable foundational functions:</w:t>
      </w:r>
    </w:p>
    <w:p>
      <w:pPr>
        <w:spacing w:before="0" w:after="120" w:line="276" w:lineRule="auto"/>
      </w:pPr>
      <w:r>
        <w:rPr>
          <w:rFonts w:ascii="Calibri" w:hAnsi="Calibri"/>
          <w:b/>
          <w:color w:val="2D3748"/>
          <w:sz w:val="21"/>
        </w:rPr>
        <w:t xml:space="preserve">• </w:t>
      </w:r>
      <w:r>
        <w:rPr>
          <w:rFonts w:ascii="Calibri" w:hAnsi="Calibri"/>
          <w:color w:val="2D3748"/>
          <w:sz w:val="21"/>
        </w:rPr>
        <w:t>1. Securing Preservation and Audit Readiness: Before substantive fact witnesses are interviewed—and before any risk of spoliation can be alleged—counsel must confirm that comprehensive, written litigation holds were properly issued, that auto-deletion schedules on email, Slack, and Git servers were suspended, and that forensic images of key custodian hardware were securely captured. Establishing this defensible preservation trail at the outset protects Meridian against spoliation sanctions under Federal Rule of Civil Procedure 37(e).</w:t>
      </w:r>
    </w:p>
    <w:p>
      <w:pPr>
        <w:spacing w:before="0" w:after="120" w:line="276" w:lineRule="auto"/>
      </w:pPr>
      <w:r>
        <w:rPr>
          <w:rFonts w:ascii="Calibri" w:hAnsi="Calibri"/>
          <w:b/>
          <w:color w:val="2D3748"/>
          <w:sz w:val="21"/>
        </w:rPr>
        <w:t xml:space="preserve">• </w:t>
      </w:r>
      <w:r>
        <w:rPr>
          <w:rFonts w:ascii="Calibri" w:hAnsi="Calibri"/>
          <w:color w:val="2D3748"/>
          <w:sz w:val="21"/>
        </w:rPr>
        <w:t>2. Defining Privilege and Procedural Boundaries: Mr. Kessler is the corporate gatekeeper of legal communications. Interviewing him first allows outside counsel to delineate the exact boundaries between discoverable factual events (e.g., date of receipt of the March 12 C&amp;D letter, employee onboarding forms, third-party software scans) and privileged legal work product (e.g., legal risk assessments, outside counsel advice, defense theories). This ensures all subsequent internal communications adhere strictly to privilege protocols.</w:t>
      </w:r>
    </w:p>
    <w:p>
      <w:pPr>
        <w:spacing w:before="0" w:after="120" w:line="276" w:lineRule="auto"/>
      </w:pPr>
      <w:r>
        <w:rPr>
          <w:rFonts w:ascii="Calibri" w:hAnsi="Calibri"/>
          <w:b/>
          <w:color w:val="2D3748"/>
          <w:sz w:val="21"/>
        </w:rPr>
        <w:t xml:space="preserve">• </w:t>
      </w:r>
      <w:r>
        <w:rPr>
          <w:rFonts w:ascii="Calibri" w:hAnsi="Calibri"/>
          <w:color w:val="2D3748"/>
          <w:sz w:val="21"/>
        </w:rPr>
        <w:t>3. Gathering Baseline Corporate &amp; Personnel Documents: The Legal Lead can provide the foundational corporate records needed for subsequent interviews: standard employee PIIAs, employee handbooks, the complete pre-suit correspondence file, ordinary-course patent clearance searches, and Software Composition Analysis (SCA) scan reports. Furthermore, Mr. Kessler can supply an objective organizational chart identifying which engineers worked on which specific modules, eliminating reliance on Dr. Holt's subjective characterization of the team.</w:t>
      </w:r>
    </w:p>
    <w:p>
      <w:pPr>
        <w:keepNext/>
        <w:spacing w:before="160" w:after="40"/>
      </w:pPr>
      <w:r>
        <w:rPr>
          <w:rFonts w:ascii="Calibri" w:hAnsi="Calibri"/>
          <w:b/>
          <w:i/>
          <w:color w:val="2D3748"/>
          <w:sz w:val="22"/>
        </w:rPr>
        <w:t>Stage 2 (Second): Meridian Technical Team (Module Architects &amp; Lead Developers)</w:t>
      </w:r>
    </w:p>
    <w:p>
      <w:pPr>
        <w:spacing w:before="0" w:after="120" w:line="276" w:lineRule="auto"/>
      </w:pPr>
      <w:r>
        <w:rPr>
          <w:rFonts w:ascii="Calibri" w:hAnsi="Calibri"/>
          <w:b/>
          <w:color w:val="2D3748"/>
          <w:sz w:val="21"/>
        </w:rPr>
        <w:t xml:space="preserve">Objective Technical Baseline: </w:t>
      </w:r>
      <w:r>
        <w:rPr>
          <w:rFonts w:ascii="Calibri" w:hAnsi="Calibri"/>
          <w:color w:val="2D3748"/>
          <w:sz w:val="21"/>
        </w:rPr>
        <w:t>Examining the technical team prior to Dr. Holt provides an untainted, empirical engineering baseline:</w:t>
      </w:r>
    </w:p>
    <w:p>
      <w:pPr>
        <w:spacing w:before="0" w:after="120" w:line="276" w:lineRule="auto"/>
      </w:pPr>
      <w:r>
        <w:rPr>
          <w:rFonts w:ascii="Calibri" w:hAnsi="Calibri"/>
          <w:b/>
          <w:color w:val="2D3748"/>
          <w:sz w:val="21"/>
        </w:rPr>
        <w:t xml:space="preserve">• </w:t>
      </w:r>
      <w:r>
        <w:rPr>
          <w:rFonts w:ascii="Calibri" w:hAnsi="Calibri"/>
          <w:color w:val="2D3748"/>
          <w:sz w:val="21"/>
        </w:rPr>
        <w:t>1. Independent Verification of Code Provenance: Module architects and lead developers possess direct, firsthand knowledge of how the code was conceived, designed, and implemented. By examining them before Dr. Holt, counsel obtains an authentic, uncolored account of the engineering process. Their testimony will establish whether developers wrote the code from scratch, what academic literature they consulted, and whether Dr. Holt provided high-level architectural requirements or hands-on code.</w:t>
      </w:r>
    </w:p>
    <w:p>
      <w:pPr>
        <w:spacing w:before="0" w:after="120" w:line="276" w:lineRule="auto"/>
      </w:pPr>
      <w:r>
        <w:rPr>
          <w:rFonts w:ascii="Calibri" w:hAnsi="Calibri"/>
          <w:b/>
          <w:color w:val="2D3748"/>
          <w:sz w:val="21"/>
        </w:rPr>
        <w:t xml:space="preserve">• </w:t>
      </w:r>
      <w:r>
        <w:rPr>
          <w:rFonts w:ascii="Calibri" w:hAnsi="Calibri"/>
          <w:color w:val="2D3748"/>
          <w:sz w:val="21"/>
        </w:rPr>
        <w:t>2. Interrogation of Git Commit Histories and Repositories: With repository commit logs and Jira tickets in hand (secured during Stage 1), counsel can review specific commits, author tags, and branch mergers directly with the authors. This creates an objective timeline showing that the Sensor Fusion module (Q3 2018 - Q4 2019), GPS-denied VIO module (Q1 2019 - Q3 2020), and Swarm protocol (Q2 2019 - Q1 2021) were developed incrementally over several years, conclusively disproving SkyVault's theory of a wholesale 2018 code drop.</w:t>
      </w:r>
    </w:p>
    <w:p>
      <w:pPr>
        <w:spacing w:before="0" w:after="120" w:line="276" w:lineRule="auto"/>
      </w:pPr>
      <w:r>
        <w:rPr>
          <w:rFonts w:ascii="Calibri" w:hAnsi="Calibri"/>
          <w:b/>
          <w:color w:val="2D3748"/>
          <w:sz w:val="21"/>
        </w:rPr>
        <w:t xml:space="preserve">• </w:t>
      </w:r>
      <w:r>
        <w:rPr>
          <w:rFonts w:ascii="Calibri" w:hAnsi="Calibri"/>
          <w:color w:val="2D3748"/>
          <w:sz w:val="21"/>
        </w:rPr>
        <w:t>3. Methodical Evaluation of Public Literature Across Eight Modes: The technical team can speak authoritatively to how Vasquez (2016), DroneNav (GitHub 2017), Nakamura &amp; Okonkwo (2015), and Ferreira et al. (2016) were actually treated in practice across all eight operational modes (awareness, citation, evaluation, cloning, dependency inclusion, modification, use, non-use). This confirms that open-source tools were either evaluated as prior art or segregated, and that no proprietary code was copied.</w:t>
      </w:r>
    </w:p>
    <w:p>
      <w:pPr>
        <w:spacing w:before="0" w:after="120" w:line="276" w:lineRule="auto"/>
      </w:pPr>
      <w:r>
        <w:rPr>
          <w:rFonts w:ascii="Calibri" w:hAnsi="Calibri"/>
          <w:b/>
          <w:color w:val="2D3748"/>
          <w:sz w:val="21"/>
        </w:rPr>
        <w:t xml:space="preserve">• </w:t>
      </w:r>
      <w:r>
        <w:rPr>
          <w:rFonts w:ascii="Calibri" w:hAnsi="Calibri"/>
          <w:color w:val="2D3748"/>
          <w:sz w:val="21"/>
        </w:rPr>
        <w:t>4. Definitive Code Diff Verification: Technical leads can verify that SkyVault's asserted AeroCore firmware files (`navfusion.c`, `pathoptengine.h`, `swarm_proto.cpp`) are completely absent from PathForge, establishing an affirmative technical record before Dr. Holt is examined.</w:t>
      </w:r>
    </w:p>
    <w:p>
      <w:pPr>
        <w:keepNext/>
        <w:spacing w:before="160" w:after="40"/>
      </w:pPr>
      <w:r>
        <w:rPr>
          <w:rFonts w:ascii="Calibri" w:hAnsi="Calibri"/>
          <w:b/>
          <w:i/>
          <w:color w:val="2D3748"/>
          <w:sz w:val="22"/>
        </w:rPr>
        <w:t>Stage 3 (Last): Dr. Marcus Holt (Chief Technology Officer &amp; Co-Founder)</w:t>
      </w:r>
    </w:p>
    <w:p>
      <w:pPr>
        <w:spacing w:before="0" w:after="120" w:line="276" w:lineRule="auto"/>
      </w:pPr>
      <w:r>
        <w:rPr>
          <w:rFonts w:ascii="Calibri" w:hAnsi="Calibri"/>
          <w:b/>
          <w:color w:val="2D3748"/>
          <w:sz w:val="21"/>
        </w:rPr>
        <w:t xml:space="preserve">Confrontation and Testing: </w:t>
      </w:r>
      <w:r>
        <w:rPr>
          <w:rFonts w:ascii="Calibri" w:hAnsi="Calibri"/>
          <w:color w:val="2D3748"/>
          <w:sz w:val="21"/>
        </w:rPr>
        <w:t>Dr. Marcus Holt must be interviewed last to achieve maximum cross-examination effectiveness and test his credibility against established facts:</w:t>
      </w:r>
    </w:p>
    <w:p>
      <w:pPr>
        <w:spacing w:before="0" w:after="120" w:line="276" w:lineRule="auto"/>
      </w:pPr>
      <w:r>
        <w:rPr>
          <w:rFonts w:ascii="Calibri" w:hAnsi="Calibri"/>
          <w:b/>
          <w:color w:val="2D3748"/>
          <w:sz w:val="21"/>
        </w:rPr>
        <w:t xml:space="preserve">• </w:t>
      </w:r>
      <w:r>
        <w:rPr>
          <w:rFonts w:ascii="Calibri" w:hAnsi="Calibri"/>
          <w:color w:val="2D3748"/>
          <w:sz w:val="21"/>
        </w:rPr>
        <w:t>1. Full Command of the Documentary Record: By the time counsel interviews Dr. Holt, counsel will possess the complete corporate governance file from Legal, the full Git repository commit history and Jira logs from Engineering, and the verified testimony of module leads regarding who wrote each line of code. Counsel can examine Dr. Holt with complete mastery of the facts, ensuring that any gaps, exaggerations, or inconsistencies in his narrative can be immediately identified and probed.</w:t>
      </w:r>
    </w:p>
    <w:p>
      <w:pPr>
        <w:spacing w:before="0" w:after="120" w:line="276" w:lineRule="auto"/>
      </w:pPr>
      <w:r>
        <w:rPr>
          <w:rFonts w:ascii="Calibri" w:hAnsi="Calibri"/>
          <w:b/>
          <w:color w:val="2D3748"/>
          <w:sz w:val="21"/>
        </w:rPr>
        <w:t xml:space="preserve">• </w:t>
      </w:r>
      <w:r>
        <w:rPr>
          <w:rFonts w:ascii="Calibri" w:hAnsi="Calibri"/>
          <w:color w:val="2D3748"/>
          <w:sz w:val="21"/>
        </w:rPr>
        <w:t>2. Preventing Tailored Testimony: If Dr. Holt were interviewed first, he might be tempted to shape his account of PathForge's development to fit a defensive narrative, or minimize his involvement in certain areas. By interviewing the technical team first, counsel establishes an objective factual record that Dr. Holt cannot rewrite. Counsel can test whether Dr. Holt's recollection of his role aligns with what the codebase and his developers actually show.</w:t>
      </w:r>
    </w:p>
    <w:p>
      <w:pPr>
        <w:spacing w:before="0" w:after="120" w:line="276" w:lineRule="auto"/>
      </w:pPr>
      <w:r>
        <w:rPr>
          <w:rFonts w:ascii="Calibri" w:hAnsi="Calibri"/>
          <w:b/>
          <w:color w:val="2D3748"/>
          <w:sz w:val="21"/>
        </w:rPr>
        <w:t xml:space="preserve">• </w:t>
      </w:r>
      <w:r>
        <w:rPr>
          <w:rFonts w:ascii="Calibri" w:hAnsi="Calibri"/>
          <w:color w:val="2D3748"/>
          <w:sz w:val="21"/>
        </w:rPr>
        <w:t>3. Surgical Confrontation on Forensic Log Events (Exhibit F): Dr. Holt is the sole individual who can explain the February 8/9, 2018 bulk transfer of 4,700 files to the SanDisk Ultra 128GB USB device, the local Confluence downloads (Rows 27-32), the access revocation on February 13, and the exit interview with HR Director Patel on February 15. Because counsel will already know from Stages 1 and 2 that none of those files ever surfaced in Meridian's repositories, counsel can confront Dr. Holt on the physical disposition and chain of custody of that USB device from a position of total tactical strength.</w:t>
      </w:r>
    </w:p>
    <w:p>
      <w:pPr>
        <w:spacing w:before="0" w:after="120" w:line="276" w:lineRule="auto"/>
      </w:pPr>
      <w:r>
        <w:rPr>
          <w:rFonts w:ascii="Calibri" w:hAnsi="Calibri"/>
          <w:b/>
          <w:color w:val="2D3748"/>
          <w:sz w:val="21"/>
        </w:rPr>
        <w:t xml:space="preserve">• </w:t>
      </w:r>
      <w:r>
        <w:rPr>
          <w:rFonts w:ascii="Calibri" w:hAnsi="Calibri"/>
          <w:color w:val="2D3748"/>
          <w:sz w:val="21"/>
        </w:rPr>
        <w:t>4. Deposition Preparation and Credibility Assessment: Because Dr. Holt will unquestionably be SkyVault's primary deposition target and the central witness at trial, conducting his interview last allows counsel to evaluate his demeanor, composure, and truthfulness under rigorous, adversarial cross-examination conditions. Counsel can identify potential vulnerabilities and begin formulating comprehensive witness preparation strategies.</w:t>
      </w:r>
    </w:p>
    <w:p>
      <w:pPr>
        <w:keepNext/>
        <w:spacing w:before="240" w:after="80"/>
      </w:pPr>
      <w:r>
        <w:rPr>
          <w:rFonts w:ascii="Calibri" w:hAnsi="Calibri"/>
          <w:b/>
          <w:color w:val="2B6CB0"/>
          <w:sz w:val="24"/>
        </w:rPr>
        <w:t>5.3 Document Retrieval Milestones Preceding Each Interview Stage</w:t>
      </w:r>
    </w:p>
    <w:p>
      <w:pPr>
        <w:spacing w:before="0" w:after="120" w:line="276" w:lineRule="auto"/>
      </w:pPr>
      <w:r>
        <w:rPr>
          <w:rFonts w:ascii="Calibri" w:hAnsi="Calibri"/>
          <w:b/>
          <w:color w:val="2D3748"/>
          <w:sz w:val="21"/>
        </w:rPr>
        <w:t xml:space="preserve">Operational Pre-Requisites: </w:t>
      </w:r>
      <w:r>
        <w:rPr>
          <w:rFonts w:ascii="Calibri" w:hAnsi="Calibri"/>
          <w:color w:val="2D3748"/>
          <w:sz w:val="21"/>
        </w:rPr>
        <w:t>To operationalize this sequence, counsel must ensure that specific categories of documents are collected and reviewed prior to commencing each corresponding interview stage:</w:t>
      </w:r>
    </w:p>
    <w:p>
      <w:pPr>
        <w:spacing w:before="0" w:after="120" w:line="276" w:lineRule="auto"/>
      </w:pPr>
      <w:r>
        <w:rPr>
          <w:rFonts w:ascii="Calibri" w:hAnsi="Calibri"/>
          <w:b/>
          <w:color w:val="2D3748"/>
          <w:sz w:val="21"/>
        </w:rPr>
        <w:t xml:space="preserve">• Prior to Stage 1 (Legal Lead Interview): </w:t>
      </w:r>
      <w:r>
        <w:rPr>
          <w:rFonts w:ascii="Calibri" w:hAnsi="Calibri"/>
          <w:color w:val="2D3748"/>
          <w:sz w:val="21"/>
        </w:rPr>
        <w:t>Collect and review: (i) SkyVault Complaint and complete exhibit set (Exhibits A-G); (ii) March 12, 2024 C&amp;D letter and April 5, 2024 response letter; (iii) Meridian Certificate of Incorporation (April 11, 2018); (iv) Standard Meridian employee handbook, PIIA forms, and written IP compliance policies; (v) Organizational chart and employee roster from 2018 to present.</w:t>
      </w:r>
    </w:p>
    <w:p>
      <w:pPr>
        <w:spacing w:before="0" w:after="120" w:line="276" w:lineRule="auto"/>
      </w:pPr>
      <w:r>
        <w:rPr>
          <w:rFonts w:ascii="Calibri" w:hAnsi="Calibri"/>
          <w:b/>
          <w:color w:val="2D3748"/>
          <w:sz w:val="21"/>
        </w:rPr>
        <w:t xml:space="preserve">• Prior to Stage 2 (Technical Team Interviews): </w:t>
      </w:r>
      <w:r>
        <w:rPr>
          <w:rFonts w:ascii="Calibri" w:hAnsi="Calibri"/>
          <w:color w:val="2D3748"/>
          <w:sz w:val="21"/>
        </w:rPr>
        <w:t>Collect and review: (i) PathForge source code repository trees and branch structures (Git/GitLab); (ii) Initial commit logs from April 2018 through September 2020; (iii) Jira project tickets and architecture decision records for Sensor Fusion, VIO, and Swarm modules; (iv) Software Composition Analysis (SCA) scan logs; (v) Published text of Vasquez (2016), DroneNav repo commit history (Aug 15, 2017), Nakamura (2015), and Ferreira (2016); (vi) Raw telemetry and flight test records supporting White Paper Tables 0, 1, and 2.</w:t>
      </w:r>
    </w:p>
    <w:p>
      <w:pPr>
        <w:spacing w:before="0" w:after="120" w:line="276" w:lineRule="auto"/>
      </w:pPr>
      <w:r>
        <w:rPr>
          <w:rFonts w:ascii="Calibri" w:hAnsi="Calibri"/>
          <w:b/>
          <w:color w:val="2D3748"/>
          <w:sz w:val="21"/>
        </w:rPr>
        <w:t xml:space="preserve">• Prior to Stage 3 (Dr. Marcus Holt Interview): </w:t>
      </w:r>
      <w:r>
        <w:rPr>
          <w:rFonts w:ascii="Calibri" w:hAnsi="Calibri"/>
          <w:color w:val="2D3748"/>
          <w:sz w:val="21"/>
        </w:rPr>
        <w:t>Collect and review: (i) Dr. Holt's executed SkyVault ECIAA and Exhibit A Prior Inventions Disclosure (June 13, 2016); (ii) Dr. Holt's PhD dissertation (Georgia Tech 2015) and public commit history for RoboNav GitHub repo; (iii) Exhibit F IT Forensic Log extract and incident ticket INC-2018-00417 notes; (iv) Technical team interview transcripts and module provenance summaries; (v) Results of AST / code diff searches for `navfusion.c`, `pathoptengine.h`, and `swarm_proto.cpp`; (vi) Forensic image audit of Dr. Holt's Meridian-issued computing devices.</w:t>
      </w:r>
    </w:p>
    <w:p>
      <w:pPr>
        <w:keepNext/>
        <w:spacing w:before="320" w:after="120"/>
      </w:pPr>
      <w:r>
        <w:rPr>
          <w:rFonts w:ascii="Calibri" w:hAnsi="Calibri"/>
          <w:b/>
          <w:color w:val="1A365D"/>
          <w:sz w:val="28"/>
        </w:rPr>
        <w:t>SECTION VI: COMPREHENSIVE DOCUMENT RETRIEVAL &amp; CORROBORATION CHECKLIST</w:t>
      </w:r>
    </w:p>
    <w:p>
      <w:pPr>
        <w:spacing w:before="0" w:after="120" w:line="276" w:lineRule="auto"/>
      </w:pPr>
      <w:r>
        <w:rPr>
          <w:rFonts w:ascii="Calibri" w:hAnsi="Calibri"/>
          <w:b/>
          <w:color w:val="2D3748"/>
          <w:sz w:val="21"/>
        </w:rPr>
        <w:t xml:space="preserve">Actionable Collection Plan: </w:t>
      </w:r>
      <w:r>
        <w:rPr>
          <w:rFonts w:ascii="Calibri" w:hAnsi="Calibri"/>
          <w:color w:val="2D3748"/>
          <w:sz w:val="21"/>
        </w:rPr>
        <w:t>To ensure that Meridian's factual defenses are anchored in verifiable documentary evidence rather than unsubstantiated assertions, counsel has developed the following Document Retrieval &amp; Corroboration Checklist. This matrix converts every missing evidentiary category identified in Section 1.4 into targeted collection requests, assigning specific corporate custodians, data repositories, and strategic objectives.</w:t>
      </w:r>
    </w:p>
    <w:tbl>
      <w:tblPr>
        <w:tblW w:type="auto" w:w="0"/>
        <w:jc w:val="center"/>
        <w:tblLayout w:type="fixed"/>
        <w:tblLook w:firstColumn="1" w:firstRow="1" w:lastColumn="0" w:lastRow="0" w:noHBand="0" w:noVBand="1" w:val="04A0"/>
      </w:tblPr>
      <w:tblGrid>
        <w:gridCol w:w="9360"/>
      </w:tblGrid>
      <w:tr>
        <w:tc>
          <w:tcPr>
            <w:tcW w:type="dxa" w:w="9360"/>
            <w:shd w:fill="EDF2F7"/>
            <w:tcBorders>
              <w:top w:val="none"/>
              <w:left w:val="single" w:sz="36" w:space="0" w:color="1A365D"/>
              <w:bottom w:val="none"/>
              <w:right w:val="none"/>
            </w:tcBorders>
            <w:tcMar>
              <w:top w:w="140" w:type="dxa"/>
              <w:bottom w:w="140" w:type="dxa"/>
              <w:left w:w="180" w:type="dxa"/>
              <w:right w:w="180" w:type="dxa"/>
            </w:tcMar>
          </w:tcPr>
          <w:p>
            <w:pPr>
              <w:spacing w:before="0" w:after="0" w:line="276" w:lineRule="auto"/>
            </w:pPr>
            <w:r>
              <w:rPr>
                <w:rFonts w:ascii="Calibri" w:hAnsi="Calibri"/>
                <w:b/>
                <w:color w:val="1A365D"/>
                <w:sz w:val="20"/>
              </w:rPr>
              <w:t xml:space="preserve">ESI &amp; DOCUMENT PRESERVATION DIRECTIVE: </w:t>
            </w:r>
            <w:r>
              <w:rPr>
                <w:rFonts w:ascii="Calibri" w:hAnsi="Calibri"/>
                <w:i/>
                <w:color w:val="2D3748"/>
                <w:sz w:val="20"/>
              </w:rPr>
              <w:t>DOCUMENT COLLECTION MANDATE: Outside litigation counsel and Meridian's legal department must execute targeted electronic discovery (ESI) and physical document collections across the ten priority categories below. No witness interview transcript can be finalized without reconciling witness testimony against the underlying contemporaneous records collected pursuant to this checklist.</w:t>
            </w:r>
          </w:p>
        </w:tc>
      </w:tr>
    </w:tbl>
    <w:p>
      <w:pPr>
        <w:spacing w:before="0" w:after="80"/>
      </w:pPr>
    </w:p>
    <w:tbl>
      <w:tblPr>
        <w:tblW w:type="auto" w:w="0"/>
        <w:jc w:val="center"/>
        <w:tblLayout w:type="fixed"/>
        <w:tblLook w:firstColumn="1" w:firstRow="1" w:lastColumn="0" w:lastRow="0" w:noHBand="0" w:noVBand="1" w:val="04A0"/>
        <w:tblBorders>
          <w:top w:val="single" w:sz="6" w:space="0" w:color="CBD5E0"/>
          <w:bottom w:val="single" w:sz="6" w:space="0" w:color="CBD5E0"/>
          <w:insideH w:val="single" w:sz="4" w:space="0" w:color="CBD5E0"/>
          <w:insideV w:val="none"/>
          <w:left w:val="none"/>
          <w:right w:val="none"/>
        </w:tblBorders>
      </w:tblPr>
      <w:tblGrid>
        <w:gridCol w:w="1152"/>
        <w:gridCol w:w="2592"/>
        <w:gridCol w:w="2592"/>
        <w:gridCol w:w="3024"/>
      </w:tblGrid>
      <w:tr>
        <w:tc>
          <w:tcPr>
            <w:tcW w:type="dxa" w:w="1152"/>
            <w:shd w:fill="1A365D"/>
            <w:tcMar>
              <w:top w:w="100" w:type="dxa"/>
              <w:bottom w:w="100" w:type="dxa"/>
              <w:left w:w="100" w:type="dxa"/>
              <w:right w:w="100" w:type="dxa"/>
            </w:tcMar>
          </w:tcPr>
          <w:p>
            <w:pPr>
              <w:spacing w:after="0"/>
              <w:jc w:val="center"/>
            </w:pPr>
            <w:r>
              <w:rPr>
                <w:rFonts w:ascii="Calibri" w:hAnsi="Calibri"/>
                <w:b/>
                <w:color w:val="FFFFFF"/>
                <w:sz w:val="19"/>
              </w:rPr>
              <w:t>Item #</w:t>
            </w:r>
          </w:p>
        </w:tc>
        <w:tc>
          <w:tcPr>
            <w:tcW w:type="dxa" w:w="2592"/>
            <w:shd w:fill="1A365D"/>
            <w:tcMar>
              <w:top w:w="100" w:type="dxa"/>
              <w:bottom w:w="100" w:type="dxa"/>
              <w:left w:w="100" w:type="dxa"/>
              <w:right w:w="100" w:type="dxa"/>
            </w:tcMar>
          </w:tcPr>
          <w:p>
            <w:pPr>
              <w:spacing w:after="0"/>
              <w:jc w:val="center"/>
            </w:pPr>
            <w:r>
              <w:rPr>
                <w:rFonts w:ascii="Calibri" w:hAnsi="Calibri"/>
                <w:b/>
                <w:color w:val="FFFFFF"/>
                <w:sz w:val="19"/>
              </w:rPr>
              <w:t>Document / Record Category</w:t>
            </w:r>
          </w:p>
        </w:tc>
        <w:tc>
          <w:tcPr>
            <w:tcW w:type="dxa" w:w="2592"/>
            <w:shd w:fill="1A365D"/>
            <w:tcMar>
              <w:top w:w="100" w:type="dxa"/>
              <w:bottom w:w="100" w:type="dxa"/>
              <w:left w:w="100" w:type="dxa"/>
              <w:right w:w="100" w:type="dxa"/>
            </w:tcMar>
          </w:tcPr>
          <w:p>
            <w:pPr>
              <w:spacing w:after="0"/>
              <w:jc w:val="center"/>
            </w:pPr>
            <w:r>
              <w:rPr>
                <w:rFonts w:ascii="Calibri" w:hAnsi="Calibri"/>
                <w:b/>
                <w:color w:val="FFFFFF"/>
                <w:sz w:val="19"/>
              </w:rPr>
              <w:t>Target Custodian(s) &amp; Source System</w:t>
            </w:r>
          </w:p>
        </w:tc>
        <w:tc>
          <w:tcPr>
            <w:tcW w:type="dxa" w:w="3024"/>
            <w:shd w:fill="1A365D"/>
            <w:tcMar>
              <w:top w:w="100" w:type="dxa"/>
              <w:bottom w:w="100" w:type="dxa"/>
              <w:left w:w="100" w:type="dxa"/>
              <w:right w:w="100" w:type="dxa"/>
            </w:tcMar>
          </w:tcPr>
          <w:p>
            <w:pPr>
              <w:spacing w:after="0"/>
              <w:jc w:val="center"/>
            </w:pPr>
            <w:r>
              <w:rPr>
                <w:rFonts w:ascii="Calibri" w:hAnsi="Calibri"/>
                <w:b/>
                <w:color w:val="FFFFFF"/>
                <w:sz w:val="19"/>
              </w:rPr>
              <w:t>Strategic Purpose &amp; Lead Family Addressed</w:t>
            </w:r>
          </w:p>
        </w:tc>
      </w:tr>
      <w:tr>
        <w:tc>
          <w:tcPr>
            <w:tcW w:type="dxa" w:w="1152"/>
            <w:shd w:fill="FFFFFF"/>
            <w:tcMar>
              <w:top w:w="80" w:type="dxa"/>
              <w:bottom w:w="80" w:type="dxa"/>
              <w:left w:w="100" w:type="dxa"/>
              <w:right w:w="100" w:type="dxa"/>
            </w:tcMar>
          </w:tcPr>
          <w:p>
            <w:pPr>
              <w:spacing w:after="0" w:line="264" w:lineRule="auto"/>
              <w:jc w:val="center"/>
            </w:pPr>
            <w:r>
              <w:rPr>
                <w:rFonts w:ascii="Calibri" w:hAnsi="Calibri"/>
                <w:b/>
                <w:color w:val="1A365D"/>
                <w:sz w:val="18"/>
              </w:rPr>
              <w:t>DOC-01</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Dr. Marcus Holt SkyVault Personnel &amp; Exit Records</w:t>
              <w:br/>
              <w:t>(Offer letter, job descriptions, HR exit notes, ECIAA § 3.5 return/destruction certificates)</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Dr. Marcus Holt (personal records); SkyVault HR / K. Patel (via formal document subpoena under Fed. R. Civ. P. 45)</w:t>
            </w:r>
          </w:p>
        </w:tc>
        <w:tc>
          <w:tcPr>
            <w:tcW w:type="dxa" w:w="3024"/>
            <w:shd w:fill="FFFFFF"/>
            <w:tcMar>
              <w:top w:w="80" w:type="dxa"/>
              <w:bottom w:w="80" w:type="dxa"/>
              <w:left w:w="100" w:type="dxa"/>
              <w:right w:w="100" w:type="dxa"/>
            </w:tcMar>
          </w:tcPr>
          <w:p>
            <w:pPr>
              <w:spacing w:after="0" w:line="264" w:lineRule="auto"/>
              <w:jc w:val="left"/>
            </w:pPr>
            <w:r>
              <w:rPr>
                <w:rFonts w:ascii="Calibri" w:hAnsi="Calibri"/>
                <w:color w:val="2D3748"/>
                <w:sz w:val="18"/>
              </w:rPr>
              <w:t>Verify Dr. Holt's official duties; establish whether SkyVault requested or obtained signed certifications upon departure; test HR Patel's exit interview notes in Exhibit F Row 46. [Lead Family 1]</w:t>
            </w:r>
          </w:p>
        </w:tc>
      </w:tr>
      <w:tr>
        <w:tc>
          <w:tcPr>
            <w:tcW w:type="dxa" w:w="1152"/>
            <w:shd w:fill="F7FAFC"/>
            <w:tcMar>
              <w:top w:w="80" w:type="dxa"/>
              <w:bottom w:w="80" w:type="dxa"/>
              <w:left w:w="100" w:type="dxa"/>
              <w:right w:w="100" w:type="dxa"/>
            </w:tcMar>
          </w:tcPr>
          <w:p>
            <w:pPr>
              <w:spacing w:after="0" w:line="264" w:lineRule="auto"/>
              <w:jc w:val="center"/>
            </w:pPr>
            <w:r>
              <w:rPr>
                <w:rFonts w:ascii="Calibri" w:hAnsi="Calibri"/>
                <w:b/>
                <w:color w:val="1A365D"/>
                <w:sz w:val="18"/>
              </w:rPr>
              <w:t>DOC-02</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Prior Inventions &amp; Open-Source Archive</w:t>
              <w:br/>
              <w:t>(Georgia Tech PhD dissertation 2014-2015; git commit history of RoboNav GitHub repo)</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Dr. Marcus Holt; Georgia Tech Library; public GitHub archive (github.com/mholt-robotics/robonav-cal)</w:t>
            </w:r>
          </w:p>
        </w:tc>
        <w:tc>
          <w:tcPr>
            <w:tcW w:type="dxa" w:w="3024"/>
            <w:shd w:fill="F7FAFC"/>
            <w:tcMar>
              <w:top w:w="80" w:type="dxa"/>
              <w:bottom w:w="80" w:type="dxa"/>
              <w:left w:w="100" w:type="dxa"/>
              <w:right w:w="100" w:type="dxa"/>
            </w:tcMar>
          </w:tcPr>
          <w:p>
            <w:pPr>
              <w:spacing w:after="0" w:line="264" w:lineRule="auto"/>
              <w:jc w:val="left"/>
            </w:pPr>
            <w:r>
              <w:rPr>
                <w:rFonts w:ascii="Calibri" w:hAnsi="Calibri"/>
                <w:color w:val="2D3748"/>
                <w:sz w:val="18"/>
              </w:rPr>
              <w:t>Establish the pre-existing, public prior art baseline for path planning and sensor calibration; prove prior inventions exclusion under ECIAA Exhibit A and Section 5.3. [Lead Family 2]</w:t>
            </w:r>
          </w:p>
        </w:tc>
      </w:tr>
      <w:tr>
        <w:tc>
          <w:tcPr>
            <w:tcW w:type="dxa" w:w="1152"/>
            <w:shd w:fill="FFFFFF"/>
            <w:tcMar>
              <w:top w:w="80" w:type="dxa"/>
              <w:bottom w:w="80" w:type="dxa"/>
              <w:left w:w="100" w:type="dxa"/>
              <w:right w:w="100" w:type="dxa"/>
            </w:tcMar>
          </w:tcPr>
          <w:p>
            <w:pPr>
              <w:spacing w:after="0" w:line="264" w:lineRule="auto"/>
              <w:jc w:val="center"/>
            </w:pPr>
            <w:r>
              <w:rPr>
                <w:rFonts w:ascii="Calibri" w:hAnsi="Calibri"/>
                <w:b/>
                <w:color w:val="1A365D"/>
                <w:sz w:val="18"/>
              </w:rPr>
              <w:t>DOC-03</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Meridian PathForge Source Code Repositories</w:t>
              <w:br/>
              <w:t>(Complete Git commit histories, branch trees, pull request reviews, commit logs from April 2018 to Sept 2020)</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Meridian IT / DevOps; GitHub / GitLab Enterprise servers; lead module developers</w:t>
            </w:r>
          </w:p>
        </w:tc>
        <w:tc>
          <w:tcPr>
            <w:tcW w:type="dxa" w:w="3024"/>
            <w:shd w:fill="FFFFFF"/>
            <w:tcMar>
              <w:top w:w="80" w:type="dxa"/>
              <w:bottom w:w="80" w:type="dxa"/>
              <w:left w:w="100" w:type="dxa"/>
              <w:right w:w="100" w:type="dxa"/>
            </w:tcMar>
          </w:tcPr>
          <w:p>
            <w:pPr>
              <w:spacing w:after="0" w:line="264" w:lineRule="auto"/>
              <w:jc w:val="left"/>
            </w:pPr>
            <w:r>
              <w:rPr>
                <w:rFonts w:ascii="Calibri" w:hAnsi="Calibri"/>
                <w:color w:val="2D3748"/>
                <w:sz w:val="18"/>
              </w:rPr>
              <w:t>Provide indisputable, timestamped cryptographic proof of ground-up independent development across Sensor Fusion, VIO, and Swarm modules; rebut claim of unitary code copying. [Lead Family 3]</w:t>
            </w:r>
          </w:p>
        </w:tc>
      </w:tr>
      <w:tr>
        <w:tc>
          <w:tcPr>
            <w:tcW w:type="dxa" w:w="1152"/>
            <w:shd w:fill="F7FAFC"/>
            <w:tcMar>
              <w:top w:w="80" w:type="dxa"/>
              <w:bottom w:w="80" w:type="dxa"/>
              <w:left w:w="100" w:type="dxa"/>
              <w:right w:w="100" w:type="dxa"/>
            </w:tcMar>
          </w:tcPr>
          <w:p>
            <w:pPr>
              <w:spacing w:after="0" w:line="264" w:lineRule="auto"/>
              <w:jc w:val="center"/>
            </w:pPr>
            <w:r>
              <w:rPr>
                <w:rFonts w:ascii="Calibri" w:hAnsi="Calibri"/>
                <w:b/>
                <w:color w:val="1A365D"/>
                <w:sz w:val="18"/>
              </w:rPr>
              <w:t>DOC-04</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Engineering Design &amp; Project Management Logs</w:t>
              <w:br/>
              <w:t>(Jira project tickets, Confluence design pages, architecture decision records, engineering notebooks)</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Meridian Engineering Leads; Jira Cloud / Confluence Enterprise; lead module architects</w:t>
            </w:r>
          </w:p>
        </w:tc>
        <w:tc>
          <w:tcPr>
            <w:tcW w:type="dxa" w:w="3024"/>
            <w:shd w:fill="F7FAFC"/>
            <w:tcMar>
              <w:top w:w="80" w:type="dxa"/>
              <w:bottom w:w="80" w:type="dxa"/>
              <w:left w:w="100" w:type="dxa"/>
              <w:right w:w="100" w:type="dxa"/>
            </w:tcMar>
          </w:tcPr>
          <w:p>
            <w:pPr>
              <w:spacing w:after="0" w:line="264" w:lineRule="auto"/>
              <w:jc w:val="left"/>
            </w:pPr>
            <w:r>
              <w:rPr>
                <w:rFonts w:ascii="Calibri" w:hAnsi="Calibri"/>
                <w:color w:val="2D3748"/>
                <w:sz w:val="18"/>
              </w:rPr>
              <w:t>Document contemporaneous problem-solving, architectural choices, and phased implementation timelines; prove independent conception by named developers. [Lead Family 3]</w:t>
            </w:r>
          </w:p>
        </w:tc>
      </w:tr>
      <w:tr>
        <w:tc>
          <w:tcPr>
            <w:tcW w:type="dxa" w:w="1152"/>
            <w:shd w:fill="FFFFFF"/>
            <w:tcMar>
              <w:top w:w="80" w:type="dxa"/>
              <w:bottom w:w="80" w:type="dxa"/>
              <w:left w:w="100" w:type="dxa"/>
              <w:right w:w="100" w:type="dxa"/>
            </w:tcMar>
          </w:tcPr>
          <w:p>
            <w:pPr>
              <w:spacing w:after="0" w:line="264" w:lineRule="auto"/>
              <w:jc w:val="center"/>
            </w:pPr>
            <w:r>
              <w:rPr>
                <w:rFonts w:ascii="Calibri" w:hAnsi="Calibri"/>
                <w:b/>
                <w:color w:val="1A365D"/>
                <w:sz w:val="18"/>
              </w:rPr>
              <w:t>DOC-05</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July 2022 White Paper Drafting History</w:t>
              <w:br/>
              <w:t>(Full 42-page technical paper, internal drafts, marketing review comments, email correspondence, Section 6 specs)</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Dr. Marcus Holt; Meridian Marketing Team; PathForge Technical Leads; corporate Google Drive / Sharepoint</w:t>
            </w:r>
          </w:p>
        </w:tc>
        <w:tc>
          <w:tcPr>
            <w:tcW w:type="dxa" w:w="3024"/>
            <w:shd w:fill="FFFFFF"/>
            <w:tcMar>
              <w:top w:w="80" w:type="dxa"/>
              <w:bottom w:w="80" w:type="dxa"/>
              <w:left w:w="100" w:type="dxa"/>
              <w:right w:w="100" w:type="dxa"/>
            </w:tcMar>
          </w:tcPr>
          <w:p>
            <w:pPr>
              <w:spacing w:after="0" w:line="264" w:lineRule="auto"/>
              <w:jc w:val="left"/>
            </w:pPr>
            <w:r>
              <w:rPr>
                <w:rFonts w:ascii="Calibri" w:hAnsi="Calibri"/>
                <w:color w:val="2D3748"/>
                <w:sz w:val="18"/>
              </w:rPr>
              <w:t>Disclose the full 42-page paper; establish that the published document is a commercial marketing excerpt; expose and exploit citation discrepancies in Complaint Table 1. [Lead Family 4]</w:t>
            </w:r>
          </w:p>
        </w:tc>
      </w:tr>
      <w:tr>
        <w:tc>
          <w:tcPr>
            <w:tcW w:type="dxa" w:w="1152"/>
            <w:shd w:fill="F7FAFC"/>
            <w:tcMar>
              <w:top w:w="80" w:type="dxa"/>
              <w:bottom w:w="80" w:type="dxa"/>
              <w:left w:w="100" w:type="dxa"/>
              <w:right w:w="100" w:type="dxa"/>
            </w:tcMar>
          </w:tcPr>
          <w:p>
            <w:pPr>
              <w:spacing w:after="0" w:line="264" w:lineRule="auto"/>
              <w:jc w:val="center"/>
            </w:pPr>
            <w:r>
              <w:rPr>
                <w:rFonts w:ascii="Calibri" w:hAnsi="Calibri"/>
                <w:b/>
                <w:color w:val="1A365D"/>
                <w:sz w:val="18"/>
              </w:rPr>
              <w:t>DOC-06</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Public Prior Art &amp; Open-Source Repositories</w:t>
              <w:br/>
              <w:t>(Vasquez 2016 paper; DroneNav GitHub commit history Aug 15 2017; Nakamura 2015; Ferreira 2016)</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Outside Litigation Counsel / Technical Experts; IEEE Xplore; public GitHub archives</w:t>
            </w:r>
          </w:p>
        </w:tc>
        <w:tc>
          <w:tcPr>
            <w:tcW w:type="dxa" w:w="3024"/>
            <w:shd w:fill="F7FAFC"/>
            <w:tcMar>
              <w:top w:w="80" w:type="dxa"/>
              <w:bottom w:w="80" w:type="dxa"/>
              <w:left w:w="100" w:type="dxa"/>
              <w:right w:w="100" w:type="dxa"/>
            </w:tcMar>
          </w:tcPr>
          <w:p>
            <w:pPr>
              <w:spacing w:after="0" w:line="264" w:lineRule="auto"/>
              <w:jc w:val="left"/>
            </w:pPr>
            <w:r>
              <w:rPr>
                <w:rFonts w:ascii="Calibri" w:hAnsi="Calibri"/>
                <w:color w:val="2D3748"/>
                <w:sz w:val="18"/>
              </w:rPr>
              <w:t>Establish that core algorithmic concepts (EKF sensor fusion, sliding-window VIO, mesh consensus) were published prior art and open-source; test 8 operational modes. [Lead Family 5]</w:t>
            </w:r>
          </w:p>
        </w:tc>
      </w:tr>
      <w:tr>
        <w:tc>
          <w:tcPr>
            <w:tcW w:type="dxa" w:w="1152"/>
            <w:shd w:fill="FFFFFF"/>
            <w:tcMar>
              <w:top w:w="80" w:type="dxa"/>
              <w:bottom w:w="80" w:type="dxa"/>
              <w:left w:w="100" w:type="dxa"/>
              <w:right w:w="100" w:type="dxa"/>
            </w:tcMar>
          </w:tcPr>
          <w:p>
            <w:pPr>
              <w:spacing w:after="0" w:line="264" w:lineRule="auto"/>
              <w:jc w:val="center"/>
            </w:pPr>
            <w:r>
              <w:rPr>
                <w:rFonts w:ascii="Calibri" w:hAnsi="Calibri"/>
                <w:b/>
                <w:color w:val="1A365D"/>
                <w:sz w:val="18"/>
              </w:rPr>
              <w:t>DOC-07</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AeroCore Source Code Comparison Data</w:t>
              <w:br/>
              <w:t>(Formal AST analysis and line-by-line diff comparing `navfusion.c`, `pathoptengine.h`, `swarm_proto.cpp` to PathForge)</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Defense Technical Expert / Independent Forensic Code Auditor; SkyVault production under Protective Order</w:t>
            </w:r>
          </w:p>
        </w:tc>
        <w:tc>
          <w:tcPr>
            <w:tcW w:type="dxa" w:w="3024"/>
            <w:shd w:fill="FFFFFF"/>
            <w:tcMar>
              <w:top w:w="80" w:type="dxa"/>
              <w:bottom w:w="80" w:type="dxa"/>
              <w:left w:w="100" w:type="dxa"/>
              <w:right w:w="100" w:type="dxa"/>
            </w:tcMar>
          </w:tcPr>
          <w:p>
            <w:pPr>
              <w:spacing w:after="0" w:line="264" w:lineRule="auto"/>
              <w:jc w:val="left"/>
            </w:pPr>
            <w:r>
              <w:rPr>
                <w:rFonts w:ascii="Calibri" w:hAnsi="Calibri"/>
                <w:color w:val="2D3748"/>
                <w:sz w:val="18"/>
              </w:rPr>
              <w:t>Conclusively establish the complete absence of AeroCore source code, variable naming conventions, or structural cloning within PathForge, defeating Count VI copyright infringement. [Lead Family 3 &amp; 6]</w:t>
            </w:r>
          </w:p>
        </w:tc>
      </w:tr>
      <w:tr>
        <w:tc>
          <w:tcPr>
            <w:tcW w:type="dxa" w:w="1152"/>
            <w:shd w:fill="F7FAFC"/>
            <w:tcMar>
              <w:top w:w="80" w:type="dxa"/>
              <w:bottom w:w="80" w:type="dxa"/>
              <w:left w:w="100" w:type="dxa"/>
              <w:right w:w="100" w:type="dxa"/>
            </w:tcMar>
          </w:tcPr>
          <w:p>
            <w:pPr>
              <w:spacing w:after="0" w:line="264" w:lineRule="auto"/>
              <w:jc w:val="center"/>
            </w:pPr>
            <w:r>
              <w:rPr>
                <w:rFonts w:ascii="Calibri" w:hAnsi="Calibri"/>
                <w:b/>
                <w:color w:val="1A365D"/>
                <w:sz w:val="18"/>
              </w:rPr>
              <w:t>DOC-08</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Pre-Suit Correspondence &amp; Notice Records</w:t>
              <w:br/>
              <w:t>(March 12, 2024 C&amp;D letter complete package; certified mail receipt; April 5, 2024 response letter with delivery confirmation)</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Jordan Kessler (VP of Legal); Laura Brackwell (Outside Counsel); Callister, Voss &amp; Greenbaum LLP</w:t>
            </w:r>
          </w:p>
        </w:tc>
        <w:tc>
          <w:tcPr>
            <w:tcW w:type="dxa" w:w="3024"/>
            <w:shd w:fill="F7FAFC"/>
            <w:tcMar>
              <w:top w:w="80" w:type="dxa"/>
              <w:bottom w:w="80" w:type="dxa"/>
              <w:left w:w="100" w:type="dxa"/>
              <w:right w:w="100" w:type="dxa"/>
            </w:tcMar>
          </w:tcPr>
          <w:p>
            <w:pPr>
              <w:spacing w:after="0" w:line="264" w:lineRule="auto"/>
              <w:jc w:val="left"/>
            </w:pPr>
            <w:r>
              <w:rPr>
                <w:rFonts w:ascii="Calibri" w:hAnsi="Calibri"/>
                <w:color w:val="2D3748"/>
                <w:sz w:val="18"/>
              </w:rPr>
              <w:t>Establish exact notice parameters; prove SkyVault failed to provide claim charts or technical support; substantiate good-faith pre-suit dispute handling and defense posture. [Lead Family 6]</w:t>
            </w:r>
          </w:p>
        </w:tc>
      </w:tr>
      <w:tr>
        <w:tc>
          <w:tcPr>
            <w:tcW w:type="dxa" w:w="1152"/>
            <w:shd w:fill="FFFFFF"/>
            <w:tcMar>
              <w:top w:w="80" w:type="dxa"/>
              <w:bottom w:w="80" w:type="dxa"/>
              <w:left w:w="100" w:type="dxa"/>
              <w:right w:w="100" w:type="dxa"/>
            </w:tcMar>
          </w:tcPr>
          <w:p>
            <w:pPr>
              <w:spacing w:after="0" w:line="264" w:lineRule="auto"/>
              <w:jc w:val="center"/>
            </w:pPr>
            <w:r>
              <w:rPr>
                <w:rFonts w:ascii="Calibri" w:hAnsi="Calibri"/>
                <w:b/>
                <w:color w:val="1A365D"/>
                <w:sz w:val="18"/>
              </w:rPr>
              <w:t>DOC-09</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Corporate IP Compliance &amp; SCA Scan Logs</w:t>
              <w:br/>
              <w:t>(Standard Meridian PIIA agreements, employee onboarding forms, Black Duck / FOSSA automated code scan logs)</w:t>
            </w:r>
          </w:p>
        </w:tc>
        <w:tc>
          <w:tcPr>
            <w:tcW w:type="dxa" w:w="2592"/>
            <w:shd w:fill="FFFFFF"/>
            <w:tcMar>
              <w:top w:w="80" w:type="dxa"/>
              <w:bottom w:w="80" w:type="dxa"/>
              <w:left w:w="100" w:type="dxa"/>
              <w:right w:w="100" w:type="dxa"/>
            </w:tcMar>
          </w:tcPr>
          <w:p>
            <w:pPr>
              <w:spacing w:after="0" w:line="264" w:lineRule="auto"/>
              <w:jc w:val="left"/>
            </w:pPr>
            <w:r>
              <w:rPr>
                <w:rFonts w:ascii="Calibri" w:hAnsi="Calibri"/>
                <w:color w:val="2D3748"/>
                <w:sz w:val="18"/>
              </w:rPr>
              <w:t>Jordan Kessler (VP of Legal); Meridian HR / DevOps; IT Security Dashboard</w:t>
            </w:r>
          </w:p>
        </w:tc>
        <w:tc>
          <w:tcPr>
            <w:tcW w:type="dxa" w:w="3024"/>
            <w:shd w:fill="FFFFFF"/>
            <w:tcMar>
              <w:top w:w="80" w:type="dxa"/>
              <w:bottom w:w="80" w:type="dxa"/>
              <w:left w:w="100" w:type="dxa"/>
              <w:right w:w="100" w:type="dxa"/>
            </w:tcMar>
          </w:tcPr>
          <w:p>
            <w:pPr>
              <w:spacing w:after="0" w:line="264" w:lineRule="auto"/>
              <w:jc w:val="left"/>
            </w:pPr>
            <w:r>
              <w:rPr>
                <w:rFonts w:ascii="Calibri" w:hAnsi="Calibri"/>
                <w:color w:val="2D3748"/>
                <w:sz w:val="18"/>
              </w:rPr>
              <w:t>Demonstrate institutional commitment to intellectual property compliance; prove through automated third-party tools that PathForge is free from proprietary contamination. [Lead Family 3 &amp; 6]</w:t>
            </w:r>
          </w:p>
        </w:tc>
      </w:tr>
      <w:tr>
        <w:tc>
          <w:tcPr>
            <w:tcW w:type="dxa" w:w="1152"/>
            <w:shd w:fill="F7FAFC"/>
            <w:tcMar>
              <w:top w:w="80" w:type="dxa"/>
              <w:bottom w:w="80" w:type="dxa"/>
              <w:left w:w="100" w:type="dxa"/>
              <w:right w:w="100" w:type="dxa"/>
            </w:tcMar>
          </w:tcPr>
          <w:p>
            <w:pPr>
              <w:spacing w:after="0" w:line="264" w:lineRule="auto"/>
              <w:jc w:val="center"/>
            </w:pPr>
            <w:r>
              <w:rPr>
                <w:rFonts w:ascii="Calibri" w:hAnsi="Calibri"/>
                <w:b/>
                <w:color w:val="1A365D"/>
                <w:sz w:val="18"/>
              </w:rPr>
              <w:t>DOC-10</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Full SkyVault Confluence Review Population &amp; Workstation Forensics</w:t>
              <w:br/>
              <w:t>(Complete 12,847 audit log review dataset; forensic image of SV-ENG-WS-014; SanDisk drive)</w:t>
            </w:r>
          </w:p>
        </w:tc>
        <w:tc>
          <w:tcPr>
            <w:tcW w:type="dxa" w:w="2592"/>
            <w:shd w:fill="F7FAFC"/>
            <w:tcMar>
              <w:top w:w="80" w:type="dxa"/>
              <w:bottom w:w="80" w:type="dxa"/>
              <w:left w:w="100" w:type="dxa"/>
              <w:right w:w="100" w:type="dxa"/>
            </w:tcMar>
          </w:tcPr>
          <w:p>
            <w:pPr>
              <w:spacing w:after="0" w:line="264" w:lineRule="auto"/>
              <w:jc w:val="left"/>
            </w:pPr>
            <w:r>
              <w:rPr>
                <w:rFonts w:ascii="Calibri" w:hAnsi="Calibri"/>
                <w:color w:val="2D3748"/>
                <w:sz w:val="18"/>
              </w:rPr>
              <w:t>SkyVault IT / Custodian of Records; Hargrove Forensics Group (via Rule 34 / Rule 45 discovery); Dr. Marcus Holt</w:t>
            </w:r>
          </w:p>
        </w:tc>
        <w:tc>
          <w:tcPr>
            <w:tcW w:type="dxa" w:w="3024"/>
            <w:shd w:fill="F7FAFC"/>
            <w:tcMar>
              <w:top w:w="80" w:type="dxa"/>
              <w:bottom w:w="80" w:type="dxa"/>
              <w:left w:w="100" w:type="dxa"/>
              <w:right w:w="100" w:type="dxa"/>
            </w:tcMar>
          </w:tcPr>
          <w:p>
            <w:pPr>
              <w:spacing w:after="0" w:line="264" w:lineRule="auto"/>
              <w:jc w:val="left"/>
            </w:pPr>
            <w:r>
              <w:rPr>
                <w:rFonts w:ascii="Calibri" w:hAnsi="Calibri"/>
                <w:color w:val="2D3748"/>
                <w:sz w:val="18"/>
              </w:rPr>
              <w:t>Overcome the selective bias of Exhibit F's 50-event extract; review the remaining 12,797 events to demonstrate normal usage patterns; establish chain of custody and forensic status of removable media. [Lead Family 1]</w:t>
            </w:r>
          </w:p>
        </w:tc>
      </w:tr>
    </w:tbl>
    <w:p>
      <w:pPr>
        <w:spacing w:before="240" w:after="120"/>
      </w:pPr>
      <w:r>
        <w:rPr>
          <w:rFonts w:ascii="Calibri" w:hAnsi="Calibri"/>
          <w:b/>
          <w:color w:val="1A365D"/>
          <w:sz w:val="20"/>
        </w:rPr>
        <w:t>CONCLUSION &amp; NEXT STEPS: Upon executive approval of this interview memorandum, the litigation team will issue the targeted document collection directives outlined in Section VI, formally notice Stage 1 with Jordan Kessler, and establish secure evidence lockers for all retrieved electronic media. Outside counsel will prepare detailed deposition preparation binders following the conclusion of each interview stage.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18096"/>
        <w:sz w:val="18"/>
      </w:rPr>
      <w:t>Meridian Dynamics / SkyVault Litigation — Witness Interview Outline</w:t>
    </w:r>
  </w:p>
  <w:p>
    <w:pPr>
      <w:jc w:val="right"/>
    </w:pPr>
    <w:r>
      <w:rPr>
        <w:rFonts w:ascii="Calibri" w:hAnsi="Calibri"/>
        <w:color w:val="718096"/>
        <w:sz w:val="18"/>
      </w:rPr>
      <w:t xml:space="preserve">Page </w:t>
      <w:fldChar w:fldCharType="begin"/>
      <w:instrText xml:space="preserve">PAGE</w:instrText>
      <w:fldChar w:fldCharType="separate"/>
      <w:fldChar w:fldCharType="end"/>
    </w:r>
    <w:r>
      <w:rPr>
        <w:rFonts w:ascii="Calibri" w:hAnsi="Calibri"/>
        <w:color w:val="718096"/>
        <w:sz w:val="18"/>
      </w:rPr>
      <w:t xml:space="preserve"> of </w:t>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CONFIDENTIAL &amp; PRIVILEGED // ATTORNEY WORK PRODUCT // INVESTIGATION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