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D0379" w14:textId="0DFB0326" w:rsidR="00F543A7" w:rsidRDefault="00F543A7" w:rsidP="00FE4BD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Case Study – IoT System Management with NETCONF YANG</w:t>
      </w:r>
    </w:p>
    <w:p w14:paraId="71B4735C" w14:textId="5CFEEA0D" w:rsidR="00FE4BD0" w:rsidRPr="005B5B8C" w:rsidRDefault="00FE4BD0" w:rsidP="00FE4BD0">
      <w:pPr>
        <w:spacing w:line="36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B5B8C">
        <w:rPr>
          <w:rFonts w:asciiTheme="majorBidi" w:hAnsiTheme="majorBidi" w:cstheme="majorBidi"/>
          <w:b/>
          <w:bCs/>
          <w:sz w:val="24"/>
          <w:szCs w:val="24"/>
        </w:rPr>
        <w:t>What are NETCONF and YANG:</w:t>
      </w:r>
    </w:p>
    <w:p w14:paraId="29787672" w14:textId="4B3B3D90" w:rsidR="00FE4BD0" w:rsidRDefault="00FE4BD0" w:rsidP="00663892">
      <w:pPr>
        <w:spacing w:after="300" w:line="360" w:lineRule="auto"/>
        <w:jc w:val="both"/>
        <w:rPr>
          <w:noProof/>
        </w:rPr>
      </w:pPr>
      <w:r w:rsidRPr="00FE4BD0">
        <w:rPr>
          <w:rFonts w:asciiTheme="majorBidi" w:hAnsiTheme="majorBidi" w:cstheme="majorBidi"/>
          <w:sz w:val="24"/>
          <w:szCs w:val="24"/>
        </w:rPr>
        <w:t>Network Configuration Protocol (NETCONF) is a network device management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E4BD0">
        <w:rPr>
          <w:rFonts w:asciiTheme="majorBidi" w:hAnsiTheme="majorBidi" w:cstheme="majorBidi"/>
          <w:sz w:val="24"/>
          <w:szCs w:val="24"/>
        </w:rPr>
        <w:t>protocol that is similar to SNMP. NETCONF provides a framework for users to add,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E4BD0">
        <w:rPr>
          <w:rFonts w:asciiTheme="majorBidi" w:hAnsiTheme="majorBidi" w:cstheme="majorBidi"/>
          <w:sz w:val="24"/>
          <w:szCs w:val="24"/>
        </w:rPr>
        <w:t>modify, or delete network device configurations, or query configurations, status,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E4BD0">
        <w:rPr>
          <w:rFonts w:asciiTheme="majorBidi" w:hAnsiTheme="majorBidi" w:cstheme="majorBidi"/>
          <w:sz w:val="24"/>
          <w:szCs w:val="24"/>
        </w:rPr>
        <w:t>and statistics. Similar to SNMP that uses MIB files to model data, NETCONF uses Yet Another Next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E4BD0">
        <w:rPr>
          <w:rFonts w:asciiTheme="majorBidi" w:hAnsiTheme="majorBidi" w:cstheme="majorBidi"/>
          <w:sz w:val="24"/>
          <w:szCs w:val="24"/>
        </w:rPr>
        <w:t>Generation (YANG) as a data modeling language to describe the interaction models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E4BD0">
        <w:rPr>
          <w:rFonts w:asciiTheme="majorBidi" w:hAnsiTheme="majorBidi" w:cstheme="majorBidi"/>
          <w:sz w:val="24"/>
          <w:szCs w:val="24"/>
        </w:rPr>
        <w:t>between the NETCONF client and server.</w:t>
      </w:r>
      <w:r w:rsidRPr="00FE4B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610A84" wp14:editId="7E4AFF5A">
            <wp:extent cx="5731510" cy="281432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1BE06" w14:textId="6199D164" w:rsidR="00663892" w:rsidRPr="005B5B8C" w:rsidRDefault="00663892" w:rsidP="00663892">
      <w:pPr>
        <w:spacing w:line="360" w:lineRule="auto"/>
        <w:contextualSpacing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B5B8C">
        <w:rPr>
          <w:rFonts w:asciiTheme="majorBidi" w:hAnsiTheme="majorBidi" w:cstheme="majorBidi"/>
          <w:b/>
          <w:bCs/>
          <w:sz w:val="24"/>
          <w:szCs w:val="24"/>
        </w:rPr>
        <w:t>Why are NETCONF and YANG required:</w:t>
      </w:r>
    </w:p>
    <w:p w14:paraId="6502CDE1" w14:textId="34B4B5AB" w:rsidR="00663892" w:rsidRPr="00663892" w:rsidRDefault="00663892" w:rsidP="0066389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63892">
        <w:rPr>
          <w:rFonts w:asciiTheme="majorBidi" w:hAnsiTheme="majorBidi" w:cstheme="majorBidi"/>
          <w:sz w:val="24"/>
          <w:szCs w:val="24"/>
        </w:rPr>
        <w:t>One of the key network requirements of the cloud era is network automation,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3892">
        <w:rPr>
          <w:rFonts w:asciiTheme="majorBidi" w:hAnsiTheme="majorBidi" w:cstheme="majorBidi"/>
          <w:sz w:val="24"/>
          <w:szCs w:val="24"/>
        </w:rPr>
        <w:t>which includes quick, automatic, and on-demand service provisioning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3892">
        <w:rPr>
          <w:rFonts w:asciiTheme="majorBidi" w:hAnsiTheme="majorBidi" w:cstheme="majorBidi"/>
          <w:sz w:val="24"/>
          <w:szCs w:val="24"/>
        </w:rPr>
        <w:t>automatic O&amp;M. The traditional CLI mode and SNMP do not meet the requirements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3892">
        <w:rPr>
          <w:rFonts w:asciiTheme="majorBidi" w:hAnsiTheme="majorBidi" w:cstheme="majorBidi"/>
          <w:sz w:val="24"/>
          <w:szCs w:val="24"/>
        </w:rPr>
        <w:t>of cloud-based networks due to the following disadvantage:</w:t>
      </w:r>
    </w:p>
    <w:p w14:paraId="782B07EC" w14:textId="01F89FD3" w:rsidR="00663892" w:rsidRPr="00663892" w:rsidRDefault="00663892" w:rsidP="006638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63892">
        <w:rPr>
          <w:rFonts w:asciiTheme="majorBidi" w:hAnsiTheme="majorBidi" w:cstheme="majorBidi"/>
          <w:sz w:val="24"/>
          <w:szCs w:val="24"/>
        </w:rPr>
        <w:t>The traditional CLI mode is based on man-machine interfaces. The configuration is complex and varies with vendors. Therefore, the manual learning cost is high.</w:t>
      </w:r>
    </w:p>
    <w:p w14:paraId="4C4ACD08" w14:textId="46600226" w:rsidR="00663892" w:rsidRPr="00663892" w:rsidRDefault="00663892" w:rsidP="00663892">
      <w:pPr>
        <w:pStyle w:val="ListParagraph"/>
        <w:numPr>
          <w:ilvl w:val="0"/>
          <w:numId w:val="2"/>
        </w:numPr>
        <w:spacing w:after="300" w:line="360" w:lineRule="auto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663892">
        <w:rPr>
          <w:rFonts w:asciiTheme="majorBidi" w:hAnsiTheme="majorBidi" w:cstheme="majorBidi"/>
          <w:sz w:val="24"/>
          <w:szCs w:val="24"/>
        </w:rPr>
        <w:t>The SNMP configuration efficiency is low, and the transaction mechanism is not supported. Therefore, SNMP is often used for monitoring.</w:t>
      </w:r>
    </w:p>
    <w:p w14:paraId="326F11CC" w14:textId="635F8E2D" w:rsidR="00663892" w:rsidRDefault="00663892" w:rsidP="00663892">
      <w:pPr>
        <w:pStyle w:val="ListParagraph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3DE469D" w14:textId="77777777" w:rsidR="00663892" w:rsidRPr="00663892" w:rsidRDefault="00663892" w:rsidP="00663892">
      <w:pPr>
        <w:pStyle w:val="ListParagraph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23B5287" w14:textId="1ADB18EC" w:rsidR="00663892" w:rsidRDefault="00663892" w:rsidP="00072A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63892">
        <w:rPr>
          <w:rFonts w:asciiTheme="majorBidi" w:hAnsiTheme="majorBidi" w:cstheme="majorBidi"/>
          <w:b/>
          <w:bCs/>
          <w:sz w:val="24"/>
          <w:szCs w:val="24"/>
        </w:rPr>
        <w:lastRenderedPageBreak/>
        <w:t>NETCONF uses a hierarchical protocol framework, better meeting the on-demand, automatic, and big data requirements of cloud-based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63892">
        <w:rPr>
          <w:rFonts w:asciiTheme="majorBidi" w:hAnsiTheme="majorBidi" w:cstheme="majorBidi"/>
          <w:b/>
          <w:bCs/>
          <w:sz w:val="24"/>
          <w:szCs w:val="24"/>
        </w:rPr>
        <w:t>networks.</w:t>
      </w:r>
    </w:p>
    <w:p w14:paraId="2F31F643" w14:textId="090AEC02" w:rsidR="00663892" w:rsidRDefault="00663892" w:rsidP="00663892">
      <w:pPr>
        <w:pStyle w:val="ListParagraph"/>
        <w:spacing w:after="300" w:line="360" w:lineRule="auto"/>
        <w:ind w:left="360"/>
        <w:contextualSpacing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73E9FB" wp14:editId="0E23B796">
            <wp:extent cx="5448300" cy="61436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CC460" w14:textId="104D0311" w:rsidR="00663892" w:rsidRDefault="00663892" w:rsidP="005B5B8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63892">
        <w:rPr>
          <w:rFonts w:asciiTheme="majorBidi" w:hAnsiTheme="majorBidi" w:cstheme="majorBidi"/>
          <w:b/>
          <w:bCs/>
          <w:sz w:val="24"/>
          <w:szCs w:val="24"/>
        </w:rPr>
        <w:t>NETCONF supports classified data storage and migration, phase-based committing, and configuration isolation.</w:t>
      </w:r>
    </w:p>
    <w:p w14:paraId="2F2D5FAA" w14:textId="6ADC4FC9" w:rsidR="00663892" w:rsidRPr="00663892" w:rsidRDefault="00663892" w:rsidP="00072AA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63892">
        <w:rPr>
          <w:rFonts w:asciiTheme="majorBidi" w:hAnsiTheme="majorBidi" w:cstheme="majorBidi"/>
          <w:sz w:val="24"/>
          <w:szCs w:val="24"/>
        </w:rPr>
        <w:t>&lt;running/&gt;: &lt;running/&gt; configuration datastore that stores the complete set</w:t>
      </w:r>
      <w:r w:rsidR="00072AAB">
        <w:rPr>
          <w:rFonts w:asciiTheme="majorBidi" w:hAnsiTheme="majorBidi" w:cstheme="majorBidi"/>
          <w:sz w:val="24"/>
          <w:szCs w:val="24"/>
        </w:rPr>
        <w:t xml:space="preserve"> </w:t>
      </w:r>
      <w:r w:rsidRPr="00663892">
        <w:rPr>
          <w:rFonts w:asciiTheme="majorBidi" w:hAnsiTheme="majorBidi" w:cstheme="majorBidi"/>
          <w:sz w:val="24"/>
          <w:szCs w:val="24"/>
        </w:rPr>
        <w:t>of active configurations of a network device.</w:t>
      </w:r>
    </w:p>
    <w:p w14:paraId="26B84EC4" w14:textId="1E86AB3F" w:rsidR="00663892" w:rsidRPr="00663892" w:rsidRDefault="00663892" w:rsidP="00072AA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63892">
        <w:rPr>
          <w:rFonts w:asciiTheme="majorBidi" w:hAnsiTheme="majorBidi" w:cstheme="majorBidi"/>
          <w:sz w:val="24"/>
          <w:szCs w:val="24"/>
        </w:rPr>
        <w:t>&lt;candidate/&gt;: &lt;candidate/&gt; configuration datastore that stores various</w:t>
      </w:r>
      <w:r w:rsidR="00072AAB">
        <w:rPr>
          <w:rFonts w:asciiTheme="majorBidi" w:hAnsiTheme="majorBidi" w:cstheme="majorBidi"/>
          <w:sz w:val="24"/>
          <w:szCs w:val="24"/>
        </w:rPr>
        <w:t xml:space="preserve"> </w:t>
      </w:r>
      <w:r w:rsidRPr="00663892">
        <w:rPr>
          <w:rFonts w:asciiTheme="majorBidi" w:hAnsiTheme="majorBidi" w:cstheme="majorBidi"/>
          <w:sz w:val="24"/>
          <w:szCs w:val="24"/>
        </w:rPr>
        <w:t>configuration data to be committed to the &lt;running/&gt; configuration</w:t>
      </w:r>
      <w:r w:rsidR="00072AAB">
        <w:rPr>
          <w:rFonts w:asciiTheme="majorBidi" w:hAnsiTheme="majorBidi" w:cstheme="majorBidi"/>
          <w:sz w:val="24"/>
          <w:szCs w:val="24"/>
        </w:rPr>
        <w:t xml:space="preserve"> </w:t>
      </w:r>
      <w:r w:rsidRPr="00663892">
        <w:rPr>
          <w:rFonts w:asciiTheme="majorBidi" w:hAnsiTheme="majorBidi" w:cstheme="majorBidi"/>
          <w:sz w:val="24"/>
          <w:szCs w:val="24"/>
        </w:rPr>
        <w:t>datastore. Changes in the &lt;candidate/&gt; configuration datastore do</w:t>
      </w:r>
      <w:r w:rsidR="00072AAB">
        <w:rPr>
          <w:rFonts w:asciiTheme="majorBidi" w:hAnsiTheme="majorBidi" w:cstheme="majorBidi"/>
          <w:sz w:val="24"/>
          <w:szCs w:val="24"/>
        </w:rPr>
        <w:t xml:space="preserve"> </w:t>
      </w:r>
      <w:r w:rsidRPr="00663892">
        <w:rPr>
          <w:rFonts w:asciiTheme="majorBidi" w:hAnsiTheme="majorBidi" w:cstheme="majorBidi"/>
          <w:sz w:val="24"/>
          <w:szCs w:val="24"/>
        </w:rPr>
        <w:t>not directly affect the involved device.</w:t>
      </w:r>
    </w:p>
    <w:p w14:paraId="757B59CC" w14:textId="1AA2D6DF" w:rsidR="00663892" w:rsidRDefault="00663892" w:rsidP="00072AA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63892">
        <w:rPr>
          <w:rFonts w:asciiTheme="majorBidi" w:hAnsiTheme="majorBidi" w:cstheme="majorBidi"/>
          <w:sz w:val="24"/>
          <w:szCs w:val="24"/>
        </w:rPr>
        <w:lastRenderedPageBreak/>
        <w:t>&lt;startup/&gt;: &lt;startup/&gt; configuration datastore that stores configuration data</w:t>
      </w:r>
      <w:r w:rsidR="00072AAB">
        <w:rPr>
          <w:rFonts w:asciiTheme="majorBidi" w:hAnsiTheme="majorBidi" w:cstheme="majorBidi"/>
          <w:sz w:val="24"/>
          <w:szCs w:val="24"/>
        </w:rPr>
        <w:t xml:space="preserve"> </w:t>
      </w:r>
      <w:r w:rsidRPr="00663892">
        <w:rPr>
          <w:rFonts w:asciiTheme="majorBidi" w:hAnsiTheme="majorBidi" w:cstheme="majorBidi"/>
          <w:sz w:val="24"/>
          <w:szCs w:val="24"/>
        </w:rPr>
        <w:t>loaded (similar to a saved configuration file) during device startup.</w:t>
      </w:r>
    </w:p>
    <w:p w14:paraId="1755025F" w14:textId="25A491F8" w:rsidR="00663892" w:rsidRDefault="00663892" w:rsidP="00072AA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63892">
        <w:rPr>
          <w:rFonts w:asciiTheme="majorBidi" w:hAnsiTheme="majorBidi" w:cstheme="majorBidi"/>
          <w:sz w:val="24"/>
          <w:szCs w:val="24"/>
        </w:rPr>
        <w:t>Data can be migrated between configuration database.</w:t>
      </w:r>
    </w:p>
    <w:p w14:paraId="1F5CBA22" w14:textId="20ED9B50" w:rsidR="00072AAB" w:rsidRDefault="00072AAB" w:rsidP="00072AAB">
      <w:pPr>
        <w:spacing w:after="30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73D4AC5" wp14:editId="70D8EBE7">
            <wp:extent cx="5731510" cy="1378585"/>
            <wp:effectExtent l="19050" t="19050" r="2159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C151E" w14:textId="0BF3D5C7" w:rsidR="00072AAB" w:rsidRPr="00072AAB" w:rsidRDefault="00072AAB" w:rsidP="00072A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72AAB">
        <w:rPr>
          <w:rFonts w:asciiTheme="majorBidi" w:hAnsiTheme="majorBidi" w:cstheme="majorBidi"/>
          <w:b/>
          <w:bCs/>
          <w:color w:val="231815"/>
          <w:sz w:val="24"/>
          <w:szCs w:val="24"/>
        </w:rPr>
        <w:t>NETCONF defines abundant operation interfaces and supports extension</w:t>
      </w:r>
      <w:r w:rsidRPr="00072AAB">
        <w:rPr>
          <w:rFonts w:asciiTheme="majorBidi" w:hAnsiTheme="majorBidi" w:cstheme="majorBidi"/>
          <w:b/>
          <w:bCs/>
          <w:color w:val="231815"/>
          <w:sz w:val="24"/>
          <w:szCs w:val="24"/>
        </w:rPr>
        <w:t xml:space="preserve"> </w:t>
      </w:r>
      <w:r w:rsidRPr="00072AAB">
        <w:rPr>
          <w:rFonts w:asciiTheme="majorBidi" w:hAnsiTheme="majorBidi" w:cstheme="majorBidi"/>
          <w:b/>
          <w:bCs/>
          <w:color w:val="231815"/>
          <w:sz w:val="24"/>
          <w:szCs w:val="24"/>
        </w:rPr>
        <w:t>based on capability sets.</w:t>
      </w:r>
    </w:p>
    <w:p w14:paraId="245CFDB3" w14:textId="18B87904" w:rsidR="00072AAB" w:rsidRPr="00072AAB" w:rsidRDefault="00072AAB" w:rsidP="00072AA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72AAB">
        <w:rPr>
          <w:rFonts w:asciiTheme="majorBidi" w:hAnsiTheme="majorBidi" w:cstheme="majorBidi"/>
          <w:sz w:val="24"/>
          <w:szCs w:val="24"/>
        </w:rPr>
        <w:t>Basic Operations Supported by NETCONF (RFC 6241)</w:t>
      </w:r>
    </w:p>
    <w:p w14:paraId="64E8DFF8" w14:textId="73893FA3" w:rsidR="00072AAB" w:rsidRPr="00072AAB" w:rsidRDefault="00072AAB" w:rsidP="00072AA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72AAB">
        <w:rPr>
          <w:rFonts w:asciiTheme="majorBidi" w:hAnsiTheme="majorBidi" w:cstheme="majorBidi"/>
          <w:b/>
          <w:bCs/>
          <w:sz w:val="24"/>
          <w:szCs w:val="24"/>
        </w:rPr>
        <w:t>&lt;get&gt;:</w:t>
      </w:r>
      <w:r w:rsidRPr="00072AAB">
        <w:rPr>
          <w:rFonts w:asciiTheme="majorBidi" w:hAnsiTheme="majorBidi" w:cstheme="majorBidi"/>
          <w:sz w:val="24"/>
          <w:szCs w:val="24"/>
        </w:rPr>
        <w:t xml:space="preserve"> obtains part or all of the running configuration data and status data from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2AAB">
        <w:rPr>
          <w:rFonts w:asciiTheme="majorBidi" w:hAnsiTheme="majorBidi" w:cstheme="majorBidi"/>
          <w:sz w:val="24"/>
          <w:szCs w:val="24"/>
        </w:rPr>
        <w:t>the &lt;running/&gt; configuration datastore.</w:t>
      </w:r>
    </w:p>
    <w:p w14:paraId="54E507C2" w14:textId="77777777" w:rsidR="00072AAB" w:rsidRPr="00072AAB" w:rsidRDefault="00072AAB" w:rsidP="00072AA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72AAB">
        <w:rPr>
          <w:rFonts w:asciiTheme="majorBidi" w:hAnsiTheme="majorBidi" w:cstheme="majorBidi"/>
          <w:b/>
          <w:bCs/>
          <w:sz w:val="24"/>
          <w:szCs w:val="24"/>
        </w:rPr>
        <w:t>&lt;get-config&gt;:</w:t>
      </w:r>
      <w:r w:rsidRPr="00072AAB">
        <w:rPr>
          <w:rFonts w:asciiTheme="majorBidi" w:hAnsiTheme="majorBidi" w:cstheme="majorBidi"/>
          <w:sz w:val="24"/>
          <w:szCs w:val="24"/>
        </w:rPr>
        <w:t xml:space="preserve"> obtains configuration data.</w:t>
      </w:r>
    </w:p>
    <w:p w14:paraId="71676F12" w14:textId="77777777" w:rsidR="00072AAB" w:rsidRPr="00072AAB" w:rsidRDefault="00072AAB" w:rsidP="00072AA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72AAB">
        <w:rPr>
          <w:rFonts w:asciiTheme="majorBidi" w:hAnsiTheme="majorBidi" w:cstheme="majorBidi"/>
          <w:b/>
          <w:bCs/>
          <w:sz w:val="24"/>
          <w:szCs w:val="24"/>
        </w:rPr>
        <w:t>&lt;edit-config&gt;:</w:t>
      </w:r>
      <w:r w:rsidRPr="00072AAB">
        <w:rPr>
          <w:rFonts w:asciiTheme="majorBidi" w:hAnsiTheme="majorBidi" w:cstheme="majorBidi"/>
          <w:sz w:val="24"/>
          <w:szCs w:val="24"/>
        </w:rPr>
        <w:t xml:space="preserve"> creates, modifies, or deletes configuration data.</w:t>
      </w:r>
    </w:p>
    <w:p w14:paraId="7B55887F" w14:textId="0D77353F" w:rsidR="00072AAB" w:rsidRPr="00072AAB" w:rsidRDefault="00072AAB" w:rsidP="00072AA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72AAB">
        <w:rPr>
          <w:rFonts w:asciiTheme="majorBidi" w:hAnsiTheme="majorBidi" w:cstheme="majorBidi"/>
          <w:b/>
          <w:bCs/>
          <w:sz w:val="24"/>
          <w:szCs w:val="24"/>
        </w:rPr>
        <w:t xml:space="preserve">&lt;copy-config&gt;: </w:t>
      </w:r>
      <w:r w:rsidRPr="00072AAB">
        <w:rPr>
          <w:rFonts w:asciiTheme="majorBidi" w:hAnsiTheme="majorBidi" w:cstheme="majorBidi"/>
          <w:sz w:val="24"/>
          <w:szCs w:val="24"/>
        </w:rPr>
        <w:t>replaces a configuration datastore with the contents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2AAB">
        <w:rPr>
          <w:rFonts w:asciiTheme="majorBidi" w:hAnsiTheme="majorBidi" w:cstheme="majorBidi"/>
          <w:sz w:val="24"/>
          <w:szCs w:val="24"/>
        </w:rPr>
        <w:t>another complete configuration datastore.</w:t>
      </w:r>
    </w:p>
    <w:p w14:paraId="1B6261E1" w14:textId="77777777" w:rsidR="00072AAB" w:rsidRPr="00072AAB" w:rsidRDefault="00072AAB" w:rsidP="00072AA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72AAB">
        <w:rPr>
          <w:rFonts w:asciiTheme="majorBidi" w:hAnsiTheme="majorBidi" w:cstheme="majorBidi"/>
          <w:b/>
          <w:bCs/>
          <w:sz w:val="24"/>
          <w:szCs w:val="24"/>
        </w:rPr>
        <w:t>&lt;delete-config&gt;:</w:t>
      </w:r>
      <w:r w:rsidRPr="00072AAB">
        <w:rPr>
          <w:rFonts w:asciiTheme="majorBidi" w:hAnsiTheme="majorBidi" w:cstheme="majorBidi"/>
          <w:sz w:val="24"/>
          <w:szCs w:val="24"/>
        </w:rPr>
        <w:t xml:space="preserve"> deletes all data in a non-running configuration datastore.</w:t>
      </w:r>
    </w:p>
    <w:p w14:paraId="63E7E706" w14:textId="597706A1" w:rsidR="00072AAB" w:rsidRPr="00072AAB" w:rsidRDefault="00072AAB" w:rsidP="00072AA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72AAB">
        <w:rPr>
          <w:rFonts w:asciiTheme="majorBidi" w:hAnsiTheme="majorBidi" w:cstheme="majorBidi"/>
          <w:b/>
          <w:bCs/>
          <w:sz w:val="24"/>
          <w:szCs w:val="24"/>
        </w:rPr>
        <w:t xml:space="preserve">&lt;lock&gt;: </w:t>
      </w:r>
      <w:r w:rsidRPr="00072AAB">
        <w:rPr>
          <w:rFonts w:asciiTheme="majorBidi" w:hAnsiTheme="majorBidi" w:cstheme="majorBidi"/>
          <w:sz w:val="24"/>
          <w:szCs w:val="24"/>
        </w:rPr>
        <w:t>locks the configuration datastore of a device. A locked configuration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2AAB">
        <w:rPr>
          <w:rFonts w:asciiTheme="majorBidi" w:hAnsiTheme="majorBidi" w:cstheme="majorBidi"/>
          <w:sz w:val="24"/>
          <w:szCs w:val="24"/>
        </w:rPr>
        <w:t>datastore cannot be modified by other NETCONF users.</w:t>
      </w:r>
    </w:p>
    <w:p w14:paraId="5296C1F2" w14:textId="77777777" w:rsidR="00072AAB" w:rsidRPr="00072AAB" w:rsidRDefault="00072AAB" w:rsidP="00072AA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72AAB">
        <w:rPr>
          <w:rFonts w:asciiTheme="majorBidi" w:hAnsiTheme="majorBidi" w:cstheme="majorBidi"/>
          <w:b/>
          <w:bCs/>
          <w:sz w:val="24"/>
          <w:szCs w:val="24"/>
        </w:rPr>
        <w:t>&lt;unlock&gt;:</w:t>
      </w:r>
      <w:r w:rsidRPr="00072AAB">
        <w:rPr>
          <w:rFonts w:asciiTheme="majorBidi" w:hAnsiTheme="majorBidi" w:cstheme="majorBidi"/>
          <w:sz w:val="24"/>
          <w:szCs w:val="24"/>
        </w:rPr>
        <w:t xml:space="preserve"> unlocks the configuration datastore of a device.</w:t>
      </w:r>
    </w:p>
    <w:p w14:paraId="7C9B48E9" w14:textId="77777777" w:rsidR="00072AAB" w:rsidRPr="00072AAB" w:rsidRDefault="00072AAB" w:rsidP="00072AA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72AAB">
        <w:rPr>
          <w:rFonts w:asciiTheme="majorBidi" w:hAnsiTheme="majorBidi" w:cstheme="majorBidi"/>
          <w:b/>
          <w:bCs/>
          <w:sz w:val="24"/>
          <w:szCs w:val="24"/>
        </w:rPr>
        <w:t>&lt;close-session&gt;:</w:t>
      </w:r>
      <w:r w:rsidRPr="00072AAB">
        <w:rPr>
          <w:rFonts w:asciiTheme="majorBidi" w:hAnsiTheme="majorBidi" w:cstheme="majorBidi"/>
          <w:sz w:val="24"/>
          <w:szCs w:val="24"/>
        </w:rPr>
        <w:t xml:space="preserve"> terminates a NETCONF session gracefully.</w:t>
      </w:r>
    </w:p>
    <w:p w14:paraId="780752B6" w14:textId="0A0DF7E3" w:rsidR="00072AAB" w:rsidRDefault="00072AAB" w:rsidP="00072AAB">
      <w:pPr>
        <w:spacing w:after="3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72AAB">
        <w:rPr>
          <w:rFonts w:asciiTheme="majorBidi" w:hAnsiTheme="majorBidi" w:cstheme="majorBidi"/>
          <w:b/>
          <w:bCs/>
          <w:sz w:val="24"/>
          <w:szCs w:val="24"/>
        </w:rPr>
        <w:t>&lt;kill-session&gt;:</w:t>
      </w:r>
      <w:r w:rsidRPr="00072AAB">
        <w:rPr>
          <w:rFonts w:asciiTheme="majorBidi" w:hAnsiTheme="majorBidi" w:cstheme="majorBidi"/>
          <w:sz w:val="24"/>
          <w:szCs w:val="24"/>
        </w:rPr>
        <w:t xml:space="preserve"> forcibly terminates another NETCONF session.</w:t>
      </w:r>
    </w:p>
    <w:p w14:paraId="54EB866C" w14:textId="3DDC2180" w:rsidR="00072AAB" w:rsidRDefault="00072AAB" w:rsidP="000F683C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Capabilities that can be extended:</w:t>
      </w:r>
    </w:p>
    <w:p w14:paraId="40FE0903" w14:textId="3B8E9EDF" w:rsidR="00072AAB" w:rsidRDefault="00072AAB" w:rsidP="000F683C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RFC 6241:</w:t>
      </w:r>
      <w:r>
        <w:rPr>
          <w:rFonts w:asciiTheme="majorBidi" w:hAnsiTheme="majorBidi" w:cstheme="majorBidi"/>
          <w:sz w:val="24"/>
          <w:szCs w:val="24"/>
        </w:rPr>
        <w:tab/>
      </w:r>
      <w:r w:rsidRPr="00072AAB">
        <w:rPr>
          <w:rFonts w:asciiTheme="majorBidi" w:hAnsiTheme="majorBidi" w:cstheme="majorBidi"/>
          <w:sz w:val="24"/>
          <w:szCs w:val="24"/>
        </w:rPr>
        <w:t>Writable-Running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72AAB">
        <w:rPr>
          <w:rFonts w:asciiTheme="majorBidi" w:hAnsiTheme="majorBidi" w:cstheme="majorBidi"/>
          <w:sz w:val="24"/>
          <w:szCs w:val="24"/>
        </w:rPr>
        <w:t>Candidate Configuration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72AAB">
        <w:rPr>
          <w:rFonts w:asciiTheme="majorBidi" w:hAnsiTheme="majorBidi" w:cstheme="majorBidi"/>
          <w:sz w:val="24"/>
          <w:szCs w:val="24"/>
        </w:rPr>
        <w:t>Confirmed Commit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72AAB">
        <w:rPr>
          <w:rFonts w:asciiTheme="majorBidi" w:hAnsiTheme="majorBidi" w:cstheme="majorBidi"/>
          <w:sz w:val="24"/>
          <w:szCs w:val="24"/>
        </w:rPr>
        <w:t>Rollback-on-Error</w:t>
      </w:r>
      <w:r w:rsidR="000F683C">
        <w:rPr>
          <w:rFonts w:asciiTheme="majorBidi" w:hAnsiTheme="majorBidi" w:cstheme="majorBidi"/>
          <w:sz w:val="24"/>
          <w:szCs w:val="24"/>
        </w:rPr>
        <w:t xml:space="preserve">, </w:t>
      </w:r>
      <w:r w:rsidRPr="00072AAB">
        <w:rPr>
          <w:rFonts w:asciiTheme="majorBidi" w:hAnsiTheme="majorBidi" w:cstheme="majorBidi"/>
          <w:sz w:val="24"/>
          <w:szCs w:val="24"/>
        </w:rPr>
        <w:t>Validate</w:t>
      </w:r>
      <w:r w:rsidR="000F683C">
        <w:rPr>
          <w:rFonts w:asciiTheme="majorBidi" w:hAnsiTheme="majorBidi" w:cstheme="majorBidi"/>
          <w:sz w:val="24"/>
          <w:szCs w:val="24"/>
        </w:rPr>
        <w:t xml:space="preserve">, </w:t>
      </w:r>
      <w:r w:rsidRPr="00072AAB">
        <w:rPr>
          <w:rFonts w:asciiTheme="majorBidi" w:hAnsiTheme="majorBidi" w:cstheme="majorBidi"/>
          <w:sz w:val="24"/>
          <w:szCs w:val="24"/>
        </w:rPr>
        <w:t>Startup</w:t>
      </w:r>
      <w:r w:rsidR="000F683C">
        <w:rPr>
          <w:rFonts w:asciiTheme="majorBidi" w:hAnsiTheme="majorBidi" w:cstheme="majorBidi"/>
          <w:sz w:val="24"/>
          <w:szCs w:val="24"/>
        </w:rPr>
        <w:t xml:space="preserve">, </w:t>
      </w:r>
      <w:r w:rsidRPr="00072AAB">
        <w:rPr>
          <w:rFonts w:asciiTheme="majorBidi" w:hAnsiTheme="majorBidi" w:cstheme="majorBidi"/>
          <w:sz w:val="24"/>
          <w:szCs w:val="24"/>
        </w:rPr>
        <w:t>URL</w:t>
      </w:r>
      <w:r w:rsidR="000F683C">
        <w:rPr>
          <w:rFonts w:asciiTheme="majorBidi" w:hAnsiTheme="majorBidi" w:cstheme="majorBidi"/>
          <w:sz w:val="24"/>
          <w:szCs w:val="24"/>
        </w:rPr>
        <w:t xml:space="preserve"> and </w:t>
      </w:r>
      <w:r w:rsidRPr="00072AAB">
        <w:rPr>
          <w:rFonts w:asciiTheme="majorBidi" w:hAnsiTheme="majorBidi" w:cstheme="majorBidi"/>
          <w:sz w:val="24"/>
          <w:szCs w:val="24"/>
        </w:rPr>
        <w:t>XPath</w:t>
      </w:r>
      <w:r w:rsidR="000F683C">
        <w:rPr>
          <w:rFonts w:asciiTheme="majorBidi" w:hAnsiTheme="majorBidi" w:cstheme="majorBidi"/>
          <w:sz w:val="24"/>
          <w:szCs w:val="24"/>
        </w:rPr>
        <w:t>.</w:t>
      </w:r>
    </w:p>
    <w:p w14:paraId="6971A00F" w14:textId="0E6CE92F" w:rsidR="000F683C" w:rsidRDefault="000F683C" w:rsidP="000F683C">
      <w:pPr>
        <w:autoSpaceDE w:val="0"/>
        <w:autoSpaceDN w:val="0"/>
        <w:adjustRightInd w:val="0"/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RFC 5277:</w:t>
      </w:r>
      <w:r>
        <w:rPr>
          <w:rFonts w:asciiTheme="majorBidi" w:hAnsiTheme="majorBidi" w:cstheme="majorBidi"/>
          <w:sz w:val="24"/>
          <w:szCs w:val="24"/>
        </w:rPr>
        <w:tab/>
      </w:r>
      <w:r w:rsidRPr="000F683C">
        <w:rPr>
          <w:rFonts w:asciiTheme="majorBidi" w:hAnsiTheme="majorBidi" w:cstheme="majorBidi"/>
          <w:sz w:val="24"/>
          <w:szCs w:val="24"/>
        </w:rPr>
        <w:t>Notification</w:t>
      </w:r>
      <w:r w:rsidRPr="000F683C">
        <w:rPr>
          <w:rFonts w:asciiTheme="majorBidi" w:hAnsiTheme="majorBidi" w:cstheme="majorBidi"/>
          <w:sz w:val="24"/>
          <w:szCs w:val="24"/>
        </w:rPr>
        <w:t xml:space="preserve"> and </w:t>
      </w:r>
      <w:r w:rsidRPr="000F683C">
        <w:rPr>
          <w:rFonts w:asciiTheme="majorBidi" w:hAnsiTheme="majorBidi" w:cstheme="majorBidi"/>
          <w:sz w:val="24"/>
          <w:szCs w:val="24"/>
        </w:rPr>
        <w:t>Interleave</w:t>
      </w:r>
      <w:r w:rsidRPr="000F683C">
        <w:rPr>
          <w:rFonts w:asciiTheme="majorBidi" w:hAnsiTheme="majorBidi" w:cstheme="majorBidi"/>
          <w:sz w:val="24"/>
          <w:szCs w:val="24"/>
        </w:rPr>
        <w:t>.</w:t>
      </w:r>
    </w:p>
    <w:p w14:paraId="033A7324" w14:textId="65D42B4C" w:rsidR="000F683C" w:rsidRDefault="000F683C" w:rsidP="000F683C">
      <w:pPr>
        <w:autoSpaceDE w:val="0"/>
        <w:autoSpaceDN w:val="0"/>
        <w:adjustRightInd w:val="0"/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RFC 6243:</w:t>
      </w:r>
      <w:r>
        <w:rPr>
          <w:rFonts w:asciiTheme="majorBidi" w:hAnsiTheme="majorBidi" w:cstheme="majorBidi"/>
          <w:sz w:val="24"/>
          <w:szCs w:val="24"/>
        </w:rPr>
        <w:tab/>
        <w:t>with-defaults.</w:t>
      </w:r>
    </w:p>
    <w:p w14:paraId="178DF6E7" w14:textId="1B58914F" w:rsidR="000F683C" w:rsidRPr="000F683C" w:rsidRDefault="000F683C" w:rsidP="000F683C">
      <w:pPr>
        <w:autoSpaceDE w:val="0"/>
        <w:autoSpaceDN w:val="0"/>
        <w:adjustRightInd w:val="0"/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RFC 6022: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F683C">
        <w:rPr>
          <w:rFonts w:asciiTheme="majorBidi" w:hAnsiTheme="majorBidi" w:cstheme="majorBidi"/>
          <w:sz w:val="24"/>
          <w:szCs w:val="24"/>
        </w:rPr>
        <w:t>IIetf</w:t>
      </w:r>
      <w:proofErr w:type="spellEnd"/>
      <w:r w:rsidRPr="000F683C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Pr="000F683C">
        <w:rPr>
          <w:rFonts w:asciiTheme="majorBidi" w:hAnsiTheme="majorBidi" w:cstheme="majorBidi"/>
          <w:sz w:val="24"/>
          <w:szCs w:val="24"/>
        </w:rPr>
        <w:t>netconf</w:t>
      </w:r>
      <w:proofErr w:type="spellEnd"/>
      <w:r w:rsidRPr="000F683C">
        <w:rPr>
          <w:rFonts w:asciiTheme="majorBidi" w:hAnsiTheme="majorBidi" w:cstheme="majorBidi"/>
          <w:sz w:val="24"/>
          <w:szCs w:val="24"/>
        </w:rPr>
        <w:t>-monitoring</w:t>
      </w:r>
    </w:p>
    <w:p w14:paraId="10CFFECA" w14:textId="0950E8B3" w:rsidR="00072AAB" w:rsidRDefault="00072AAB" w:rsidP="00072AA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FFBCC8D" w14:textId="79E33FE5" w:rsidR="000F683C" w:rsidRDefault="000F683C" w:rsidP="00072AA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E172C01" w14:textId="372118C8" w:rsidR="000F683C" w:rsidRPr="00891AC5" w:rsidRDefault="000F683C" w:rsidP="00CD062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AC5">
        <w:rPr>
          <w:rFonts w:asciiTheme="majorBidi" w:hAnsiTheme="majorBidi" w:cstheme="majorBidi"/>
          <w:b/>
          <w:bCs/>
          <w:color w:val="231815"/>
          <w:sz w:val="24"/>
          <w:szCs w:val="24"/>
        </w:rPr>
        <w:lastRenderedPageBreak/>
        <w:t>NETCONF operations are performed based on the YANG model.</w:t>
      </w:r>
    </w:p>
    <w:p w14:paraId="0BC08388" w14:textId="2F57CFCA" w:rsidR="00891AC5" w:rsidRPr="00CD0624" w:rsidRDefault="00891AC5" w:rsidP="00CD0624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D0624">
        <w:rPr>
          <w:rFonts w:asciiTheme="majorBidi" w:hAnsiTheme="majorBidi" w:cstheme="majorBidi"/>
          <w:sz w:val="24"/>
          <w:szCs w:val="24"/>
        </w:rPr>
        <w:t>The YANG model defines device function configuration templates. Compared</w:t>
      </w:r>
      <w:r w:rsidR="00CD0624">
        <w:rPr>
          <w:rFonts w:asciiTheme="majorBidi" w:hAnsiTheme="majorBidi" w:cstheme="majorBidi"/>
          <w:sz w:val="24"/>
          <w:szCs w:val="24"/>
        </w:rPr>
        <w:t xml:space="preserve"> </w:t>
      </w:r>
      <w:r w:rsidRPr="00CD0624">
        <w:rPr>
          <w:rFonts w:asciiTheme="majorBidi" w:hAnsiTheme="majorBidi" w:cstheme="majorBidi"/>
          <w:sz w:val="24"/>
          <w:szCs w:val="24"/>
        </w:rPr>
        <w:t>with the CLI mode, the YANG model has the following advantages:</w:t>
      </w:r>
    </w:p>
    <w:p w14:paraId="2404FD3C" w14:textId="77777777" w:rsidR="00891AC5" w:rsidRPr="00CD0624" w:rsidRDefault="00891AC5" w:rsidP="00CD062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913D3">
        <w:rPr>
          <w:rFonts w:asciiTheme="majorBidi" w:hAnsiTheme="majorBidi" w:cstheme="majorBidi"/>
          <w:b/>
          <w:bCs/>
          <w:sz w:val="24"/>
          <w:szCs w:val="24"/>
        </w:rPr>
        <w:t>Rich definition:</w:t>
      </w:r>
      <w:r w:rsidRPr="00CD0624">
        <w:rPr>
          <w:rFonts w:asciiTheme="majorBidi" w:hAnsiTheme="majorBidi" w:cstheme="majorBidi"/>
          <w:sz w:val="24"/>
          <w:szCs w:val="24"/>
        </w:rPr>
        <w:t xml:space="preserve"> Various basic data types and data attributes can be defined.</w:t>
      </w:r>
    </w:p>
    <w:p w14:paraId="6EDB4EDC" w14:textId="2D412526" w:rsidR="00891AC5" w:rsidRPr="00CD0624" w:rsidRDefault="00891AC5" w:rsidP="00CD062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913D3">
        <w:rPr>
          <w:rFonts w:asciiTheme="majorBidi" w:hAnsiTheme="majorBidi" w:cstheme="majorBidi"/>
          <w:b/>
          <w:bCs/>
          <w:sz w:val="24"/>
          <w:szCs w:val="24"/>
        </w:rPr>
        <w:t>Machine language:</w:t>
      </w:r>
      <w:r w:rsidRPr="00CD0624">
        <w:rPr>
          <w:rFonts w:asciiTheme="majorBidi" w:hAnsiTheme="majorBidi" w:cstheme="majorBidi"/>
          <w:sz w:val="24"/>
          <w:szCs w:val="24"/>
        </w:rPr>
        <w:t xml:space="preserve"> Structured definition is adopted, allowing users to</w:t>
      </w:r>
      <w:r w:rsidR="00CD0624" w:rsidRPr="00CD0624">
        <w:rPr>
          <w:rFonts w:asciiTheme="majorBidi" w:hAnsiTheme="majorBidi" w:cstheme="majorBidi"/>
          <w:sz w:val="24"/>
          <w:szCs w:val="24"/>
        </w:rPr>
        <w:t xml:space="preserve"> </w:t>
      </w:r>
      <w:r w:rsidRPr="00CD0624">
        <w:rPr>
          <w:rFonts w:asciiTheme="majorBidi" w:hAnsiTheme="majorBidi" w:cstheme="majorBidi"/>
          <w:sz w:val="24"/>
          <w:szCs w:val="24"/>
        </w:rPr>
        <w:t>define constraints that can be directly identified by the computer</w:t>
      </w:r>
      <w:r w:rsidR="00CD0624" w:rsidRPr="00CD0624">
        <w:rPr>
          <w:rFonts w:asciiTheme="majorBidi" w:hAnsiTheme="majorBidi" w:cstheme="majorBidi"/>
          <w:sz w:val="24"/>
          <w:szCs w:val="24"/>
        </w:rPr>
        <w:t xml:space="preserve"> </w:t>
      </w:r>
      <w:r w:rsidRPr="00CD0624">
        <w:rPr>
          <w:rFonts w:asciiTheme="majorBidi" w:hAnsiTheme="majorBidi" w:cstheme="majorBidi"/>
          <w:sz w:val="24"/>
          <w:szCs w:val="24"/>
        </w:rPr>
        <w:t>without manual intervention.</w:t>
      </w:r>
    </w:p>
    <w:p w14:paraId="17982709" w14:textId="69D35BF4" w:rsidR="00891AC5" w:rsidRPr="00CD0624" w:rsidRDefault="00891AC5" w:rsidP="00CD062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913D3">
        <w:rPr>
          <w:rFonts w:asciiTheme="majorBidi" w:hAnsiTheme="majorBidi" w:cstheme="majorBidi"/>
          <w:b/>
          <w:bCs/>
          <w:sz w:val="24"/>
          <w:szCs w:val="24"/>
        </w:rPr>
        <w:t>Good scalability:</w:t>
      </w:r>
      <w:r w:rsidRPr="00CD0624">
        <w:rPr>
          <w:rFonts w:asciiTheme="majorBidi" w:hAnsiTheme="majorBidi" w:cstheme="majorBidi"/>
          <w:sz w:val="24"/>
          <w:szCs w:val="24"/>
        </w:rPr>
        <w:t xml:space="preserve"> The grouping, refine, augment, and typedef statements</w:t>
      </w:r>
      <w:r w:rsidR="00CD0624" w:rsidRPr="00CD0624">
        <w:rPr>
          <w:rFonts w:asciiTheme="majorBidi" w:hAnsiTheme="majorBidi" w:cstheme="majorBidi"/>
          <w:sz w:val="24"/>
          <w:szCs w:val="24"/>
        </w:rPr>
        <w:t xml:space="preserve"> </w:t>
      </w:r>
      <w:r w:rsidRPr="00CD0624">
        <w:rPr>
          <w:rFonts w:asciiTheme="majorBidi" w:hAnsiTheme="majorBidi" w:cstheme="majorBidi"/>
          <w:sz w:val="24"/>
          <w:szCs w:val="24"/>
        </w:rPr>
        <w:t>are supported for users to extend YANG models and data types.</w:t>
      </w:r>
    </w:p>
    <w:p w14:paraId="49329FF7" w14:textId="63F20D60" w:rsidR="00CD0624" w:rsidRDefault="00891AC5" w:rsidP="00CD062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913D3">
        <w:rPr>
          <w:rFonts w:asciiTheme="majorBidi" w:hAnsiTheme="majorBidi" w:cstheme="majorBidi"/>
          <w:b/>
          <w:bCs/>
          <w:sz w:val="24"/>
          <w:szCs w:val="24"/>
        </w:rPr>
        <w:t>Easy integration:</w:t>
      </w:r>
      <w:r w:rsidRPr="00CD0624">
        <w:rPr>
          <w:rFonts w:asciiTheme="majorBidi" w:hAnsiTheme="majorBidi" w:cstheme="majorBidi"/>
          <w:sz w:val="24"/>
          <w:szCs w:val="24"/>
        </w:rPr>
        <w:t xml:space="preserve"> The IETF defines multiple YANG models and data types</w:t>
      </w:r>
      <w:r w:rsidR="00CD0624" w:rsidRPr="00CD0624">
        <w:rPr>
          <w:rFonts w:asciiTheme="majorBidi" w:hAnsiTheme="majorBidi" w:cstheme="majorBidi"/>
          <w:sz w:val="24"/>
          <w:szCs w:val="24"/>
        </w:rPr>
        <w:t xml:space="preserve"> </w:t>
      </w:r>
      <w:r w:rsidRPr="00CD0624">
        <w:rPr>
          <w:rFonts w:asciiTheme="majorBidi" w:hAnsiTheme="majorBidi" w:cstheme="majorBidi"/>
          <w:sz w:val="24"/>
          <w:szCs w:val="24"/>
        </w:rPr>
        <w:t>for reference.</w:t>
      </w:r>
    </w:p>
    <w:p w14:paraId="57F80CDE" w14:textId="65E5BC93" w:rsidR="00CD0624" w:rsidRDefault="00CD0624" w:rsidP="00CD0624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14AF6F2" wp14:editId="16DCB354">
            <wp:extent cx="5731510" cy="2647950"/>
            <wp:effectExtent l="19050" t="19050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90AE9" w14:textId="77777777" w:rsidR="00CD0624" w:rsidRPr="00980898" w:rsidRDefault="00CD0624" w:rsidP="0098089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980898">
        <w:rPr>
          <w:rFonts w:asciiTheme="majorBidi" w:hAnsiTheme="majorBidi" w:cstheme="majorBidi"/>
          <w:sz w:val="24"/>
          <w:szCs w:val="24"/>
        </w:rPr>
        <w:t>If functions are implemented in different ways on devices from different vendors:</w:t>
      </w:r>
    </w:p>
    <w:p w14:paraId="398047FE" w14:textId="77BF7F57" w:rsidR="00CD0624" w:rsidRPr="00980898" w:rsidRDefault="00CD0624" w:rsidP="0098089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980898">
        <w:rPr>
          <w:rFonts w:asciiTheme="majorBidi" w:hAnsiTheme="majorBidi" w:cstheme="majorBidi"/>
          <w:sz w:val="24"/>
          <w:szCs w:val="24"/>
        </w:rPr>
        <w:t>In traditional CLI mode, engineers need to learn the differences between command</w:t>
      </w:r>
      <w:r w:rsidR="00980898">
        <w:rPr>
          <w:rFonts w:asciiTheme="majorBidi" w:hAnsiTheme="majorBidi" w:cstheme="majorBidi"/>
          <w:sz w:val="24"/>
          <w:szCs w:val="24"/>
        </w:rPr>
        <w:t xml:space="preserve"> </w:t>
      </w:r>
      <w:r w:rsidRPr="00980898">
        <w:rPr>
          <w:rFonts w:asciiTheme="majorBidi" w:hAnsiTheme="majorBidi" w:cstheme="majorBidi"/>
          <w:sz w:val="24"/>
          <w:szCs w:val="24"/>
        </w:rPr>
        <w:t>lines of different vendors and manually map the command lines.</w:t>
      </w:r>
    </w:p>
    <w:p w14:paraId="489FA0E3" w14:textId="744BDF13" w:rsidR="00CD0624" w:rsidRPr="00980898" w:rsidRDefault="00980898" w:rsidP="0098089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DB9CE2C" wp14:editId="19C0D5FE">
            <wp:extent cx="5731510" cy="300990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02B8F" w14:textId="774F8CF2" w:rsidR="00CD0624" w:rsidRDefault="00CD0624" w:rsidP="00980898">
      <w:pPr>
        <w:jc w:val="both"/>
        <w:rPr>
          <w:rFonts w:asciiTheme="majorBidi" w:hAnsiTheme="majorBidi" w:cstheme="majorBidi"/>
          <w:sz w:val="24"/>
          <w:szCs w:val="24"/>
        </w:rPr>
      </w:pPr>
      <w:r w:rsidRPr="00980898">
        <w:rPr>
          <w:rFonts w:asciiTheme="majorBidi" w:hAnsiTheme="majorBidi" w:cstheme="majorBidi"/>
          <w:sz w:val="24"/>
          <w:szCs w:val="24"/>
        </w:rPr>
        <w:lastRenderedPageBreak/>
        <w:t>If functions are implemented based on YANG models, configuration engineers do</w:t>
      </w:r>
      <w:r w:rsidR="00980898">
        <w:rPr>
          <w:rFonts w:asciiTheme="majorBidi" w:hAnsiTheme="majorBidi" w:cstheme="majorBidi"/>
          <w:sz w:val="24"/>
          <w:szCs w:val="24"/>
        </w:rPr>
        <w:t xml:space="preserve"> </w:t>
      </w:r>
      <w:r w:rsidRPr="00980898">
        <w:rPr>
          <w:rFonts w:asciiTheme="majorBidi" w:hAnsiTheme="majorBidi" w:cstheme="majorBidi"/>
          <w:sz w:val="24"/>
          <w:szCs w:val="24"/>
        </w:rPr>
        <w:t>not need to pay attention to the definitions of YANG models and the differences</w:t>
      </w:r>
      <w:r w:rsidR="00980898">
        <w:rPr>
          <w:rFonts w:asciiTheme="majorBidi" w:hAnsiTheme="majorBidi" w:cstheme="majorBidi"/>
          <w:sz w:val="24"/>
          <w:szCs w:val="24"/>
        </w:rPr>
        <w:t xml:space="preserve"> </w:t>
      </w:r>
      <w:r w:rsidRPr="00980898">
        <w:rPr>
          <w:rFonts w:asciiTheme="majorBidi" w:hAnsiTheme="majorBidi" w:cstheme="majorBidi"/>
          <w:sz w:val="24"/>
          <w:szCs w:val="24"/>
        </w:rPr>
        <w:t>between the YANG models. The corresponding application automatically parses</w:t>
      </w:r>
      <w:r w:rsidR="00980898">
        <w:rPr>
          <w:rFonts w:asciiTheme="majorBidi" w:hAnsiTheme="majorBidi" w:cstheme="majorBidi"/>
          <w:sz w:val="24"/>
          <w:szCs w:val="24"/>
        </w:rPr>
        <w:t xml:space="preserve"> </w:t>
      </w:r>
      <w:r w:rsidRPr="00980898">
        <w:rPr>
          <w:rFonts w:asciiTheme="majorBidi" w:hAnsiTheme="majorBidi" w:cstheme="majorBidi"/>
          <w:sz w:val="24"/>
          <w:szCs w:val="24"/>
        </w:rPr>
        <w:t>the YANG model data, shifting the focus of engineers from device and function</w:t>
      </w:r>
      <w:r w:rsidR="00980898">
        <w:rPr>
          <w:rFonts w:asciiTheme="majorBidi" w:hAnsiTheme="majorBidi" w:cstheme="majorBidi"/>
          <w:sz w:val="24"/>
          <w:szCs w:val="24"/>
        </w:rPr>
        <w:t xml:space="preserve"> </w:t>
      </w:r>
      <w:r w:rsidRPr="00980898">
        <w:rPr>
          <w:rFonts w:asciiTheme="majorBidi" w:hAnsiTheme="majorBidi" w:cstheme="majorBidi"/>
          <w:sz w:val="24"/>
          <w:szCs w:val="24"/>
        </w:rPr>
        <w:t>differences to user requirements. The engineers can achieve automatic configuration</w:t>
      </w:r>
      <w:r w:rsidR="00980898">
        <w:rPr>
          <w:rFonts w:asciiTheme="majorBidi" w:hAnsiTheme="majorBidi" w:cstheme="majorBidi"/>
          <w:sz w:val="24"/>
          <w:szCs w:val="24"/>
        </w:rPr>
        <w:t xml:space="preserve"> </w:t>
      </w:r>
      <w:r w:rsidRPr="00980898">
        <w:rPr>
          <w:rFonts w:asciiTheme="majorBidi" w:hAnsiTheme="majorBidi" w:cstheme="majorBidi"/>
          <w:sz w:val="24"/>
          <w:szCs w:val="24"/>
        </w:rPr>
        <w:t>only by operating the graphical application.</w:t>
      </w:r>
    </w:p>
    <w:p w14:paraId="41DF19D3" w14:textId="4CF0FEDA" w:rsidR="00980898" w:rsidRDefault="00980898" w:rsidP="0098089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77F4CF0" wp14:editId="29BB83ED">
            <wp:extent cx="5467350" cy="57340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3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DC44A" w14:textId="5B3F450C" w:rsidR="002F500A" w:rsidRPr="002F500A" w:rsidRDefault="002F500A" w:rsidP="002F500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F500A">
        <w:rPr>
          <w:rFonts w:asciiTheme="majorBidi" w:hAnsiTheme="majorBidi" w:cstheme="majorBidi"/>
          <w:b/>
          <w:bCs/>
          <w:sz w:val="24"/>
          <w:szCs w:val="24"/>
        </w:rPr>
        <w:t>NETCONF and YANG Development:</w:t>
      </w:r>
    </w:p>
    <w:p w14:paraId="6E5430B1" w14:textId="77777777" w:rsidR="002F500A" w:rsidRPr="002F500A" w:rsidRDefault="002F500A" w:rsidP="002F500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231815"/>
          <w:sz w:val="24"/>
          <w:szCs w:val="24"/>
        </w:rPr>
      </w:pPr>
      <w:r w:rsidRPr="002F500A">
        <w:rPr>
          <w:rFonts w:asciiTheme="majorBidi" w:hAnsiTheme="majorBidi" w:cstheme="majorBidi"/>
          <w:color w:val="231815"/>
          <w:sz w:val="24"/>
          <w:szCs w:val="24"/>
        </w:rPr>
        <w:t>YANG drives the development of NETCONF.</w:t>
      </w:r>
    </w:p>
    <w:p w14:paraId="69859719" w14:textId="27DEC803" w:rsidR="002F500A" w:rsidRPr="002F500A" w:rsidRDefault="002F500A" w:rsidP="002F50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231815"/>
          <w:sz w:val="24"/>
          <w:szCs w:val="24"/>
        </w:rPr>
      </w:pPr>
      <w:r w:rsidRPr="002F500A">
        <w:rPr>
          <w:rFonts w:asciiTheme="majorBidi" w:hAnsiTheme="majorBidi" w:cstheme="majorBidi"/>
          <w:color w:val="231815"/>
          <w:sz w:val="24"/>
          <w:szCs w:val="24"/>
        </w:rPr>
        <w:t>Universal models are defined based on YANG, making a breakthrough in NETCONF</w:t>
      </w:r>
      <w:r w:rsidRPr="002F500A">
        <w:rPr>
          <w:rFonts w:asciiTheme="majorBidi" w:hAnsiTheme="majorBidi" w:cstheme="majorBidi"/>
          <w:color w:val="231815"/>
          <w:sz w:val="24"/>
          <w:szCs w:val="24"/>
        </w:rPr>
        <w:t xml:space="preserve"> </w:t>
      </w:r>
      <w:r w:rsidRPr="002F500A">
        <w:rPr>
          <w:rFonts w:asciiTheme="majorBidi" w:hAnsiTheme="majorBidi" w:cstheme="majorBidi"/>
          <w:color w:val="231815"/>
          <w:sz w:val="24"/>
          <w:szCs w:val="24"/>
        </w:rPr>
        <w:t>implementation and laying the foundation for model unification between vendors.</w:t>
      </w:r>
    </w:p>
    <w:p w14:paraId="529CA068" w14:textId="2467A05F" w:rsidR="00980898" w:rsidRPr="002F500A" w:rsidRDefault="002F500A" w:rsidP="002F50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500A">
        <w:rPr>
          <w:rFonts w:asciiTheme="majorBidi" w:hAnsiTheme="majorBidi" w:cstheme="majorBidi"/>
          <w:color w:val="231815"/>
          <w:sz w:val="24"/>
          <w:szCs w:val="24"/>
        </w:rPr>
        <w:t>YANG-based network models are implemented on devices of different vendors, promoting</w:t>
      </w:r>
      <w:r w:rsidRPr="002F500A">
        <w:rPr>
          <w:rFonts w:asciiTheme="majorBidi" w:hAnsiTheme="majorBidi" w:cstheme="majorBidi"/>
          <w:color w:val="231815"/>
          <w:sz w:val="24"/>
          <w:szCs w:val="24"/>
        </w:rPr>
        <w:t xml:space="preserve"> </w:t>
      </w:r>
      <w:r w:rsidRPr="002F500A">
        <w:rPr>
          <w:rFonts w:asciiTheme="majorBidi" w:hAnsiTheme="majorBidi" w:cstheme="majorBidi"/>
          <w:color w:val="231815"/>
          <w:sz w:val="24"/>
          <w:szCs w:val="24"/>
        </w:rPr>
        <w:t>NETCONF development.</w:t>
      </w:r>
    </w:p>
    <w:p w14:paraId="36801F93" w14:textId="633FF8BB" w:rsidR="002F500A" w:rsidRDefault="002F500A" w:rsidP="002F500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83600D7" w14:textId="3ACB08F4" w:rsidR="002F500A" w:rsidRDefault="002F500A" w:rsidP="002F500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A23521C" w14:textId="5811AB00" w:rsidR="002F500A" w:rsidRDefault="002F500A" w:rsidP="002F500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8DA0CFF" w14:textId="20315EFE" w:rsidR="002F500A" w:rsidRDefault="002F500A" w:rsidP="002F500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15ED46" w14:textId="0E7F3E11" w:rsidR="002F500A" w:rsidRDefault="002F500A" w:rsidP="002F500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040B25" wp14:editId="3385A945">
            <wp:extent cx="5731510" cy="3622040"/>
            <wp:effectExtent l="19050" t="19050" r="2159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CBB03" w14:textId="1EE066A5" w:rsidR="002F500A" w:rsidRDefault="002F500A" w:rsidP="002F500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CE77E6" w14:textId="5A84BC02" w:rsidR="002F500A" w:rsidRPr="002F500A" w:rsidRDefault="002F500A" w:rsidP="002F500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500A">
        <w:rPr>
          <w:rFonts w:asciiTheme="majorBidi" w:hAnsiTheme="majorBidi" w:cstheme="majorBidi"/>
          <w:sz w:val="24"/>
          <w:szCs w:val="24"/>
        </w:rPr>
        <w:t>Example for the basic NETCONF session process:</w:t>
      </w:r>
    </w:p>
    <w:p w14:paraId="5B931D69" w14:textId="77777777" w:rsidR="002F500A" w:rsidRPr="002F500A" w:rsidRDefault="002F500A" w:rsidP="002F500A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F500A">
        <w:rPr>
          <w:rFonts w:asciiTheme="majorBidi" w:hAnsiTheme="majorBidi" w:cstheme="majorBidi"/>
          <w:b/>
          <w:bCs/>
          <w:sz w:val="24"/>
          <w:szCs w:val="24"/>
        </w:rPr>
        <w:t>Scenario:</w:t>
      </w:r>
    </w:p>
    <w:p w14:paraId="57D44445" w14:textId="0ADFA2B1" w:rsidR="002F500A" w:rsidRPr="002F500A" w:rsidRDefault="002F500A" w:rsidP="002F500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500A">
        <w:rPr>
          <w:rFonts w:asciiTheme="majorBidi" w:hAnsiTheme="majorBidi" w:cstheme="majorBidi"/>
          <w:sz w:val="24"/>
          <w:szCs w:val="24"/>
        </w:rPr>
        <w:t>Use a NETCONF client to change the IP address of a device in two-phase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F500A">
        <w:rPr>
          <w:rFonts w:asciiTheme="majorBidi" w:hAnsiTheme="majorBidi" w:cstheme="majorBidi"/>
          <w:sz w:val="24"/>
          <w:szCs w:val="24"/>
        </w:rPr>
        <w:t>validation mode.</w:t>
      </w:r>
    </w:p>
    <w:p w14:paraId="054BF864" w14:textId="77777777" w:rsidR="002F500A" w:rsidRPr="002F500A" w:rsidRDefault="002F500A" w:rsidP="002F500A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F500A">
        <w:rPr>
          <w:rFonts w:asciiTheme="majorBidi" w:hAnsiTheme="majorBidi" w:cstheme="majorBidi"/>
          <w:b/>
          <w:bCs/>
          <w:sz w:val="24"/>
          <w:szCs w:val="24"/>
        </w:rPr>
        <w:t>Prerequisites:</w:t>
      </w:r>
    </w:p>
    <w:p w14:paraId="312D8C58" w14:textId="40711D5E" w:rsidR="002F500A" w:rsidRDefault="002F500A" w:rsidP="002F500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500A">
        <w:rPr>
          <w:rFonts w:asciiTheme="majorBidi" w:hAnsiTheme="majorBidi" w:cstheme="majorBidi"/>
          <w:sz w:val="24"/>
          <w:szCs w:val="24"/>
        </w:rPr>
        <w:t>The SSH connection, authentication, and authorization are complete.</w:t>
      </w:r>
    </w:p>
    <w:p w14:paraId="4E807A69" w14:textId="34C661B3" w:rsidR="002F500A" w:rsidRPr="002F500A" w:rsidRDefault="002F500A" w:rsidP="002F500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99ECD3F" wp14:editId="1E1E1FEC">
            <wp:extent cx="3609975" cy="10287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768DA" w14:textId="74ABF6AA" w:rsidR="002F500A" w:rsidRDefault="002F500A" w:rsidP="00ED0704">
      <w:pPr>
        <w:spacing w:after="0" w:line="360" w:lineRule="auto"/>
        <w:contextualSpacing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D0704">
        <w:rPr>
          <w:rFonts w:asciiTheme="majorBidi" w:hAnsiTheme="majorBidi" w:cstheme="majorBidi"/>
          <w:b/>
          <w:bCs/>
          <w:sz w:val="24"/>
          <w:szCs w:val="24"/>
        </w:rPr>
        <w:t>Step 1:</w:t>
      </w:r>
      <w:r w:rsidR="00ED07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0704">
        <w:rPr>
          <w:rFonts w:asciiTheme="majorBidi" w:hAnsiTheme="majorBidi" w:cstheme="majorBidi"/>
          <w:b/>
          <w:bCs/>
          <w:sz w:val="24"/>
          <w:szCs w:val="24"/>
        </w:rPr>
        <w:t>Establish a NETCONF session and advertise capabilities through</w:t>
      </w:r>
      <w:r w:rsidR="00ED07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0704">
        <w:rPr>
          <w:rFonts w:asciiTheme="majorBidi" w:hAnsiTheme="majorBidi" w:cstheme="majorBidi"/>
          <w:b/>
          <w:bCs/>
          <w:sz w:val="24"/>
          <w:szCs w:val="24"/>
        </w:rPr>
        <w:t>&lt;hello&gt;</w:t>
      </w:r>
      <w:r w:rsidR="00ED0704" w:rsidRPr="00ED07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0704">
        <w:rPr>
          <w:rFonts w:asciiTheme="majorBidi" w:hAnsiTheme="majorBidi" w:cstheme="majorBidi"/>
          <w:b/>
          <w:bCs/>
          <w:sz w:val="24"/>
          <w:szCs w:val="24"/>
        </w:rPr>
        <w:t>messages.</w:t>
      </w:r>
    </w:p>
    <w:p w14:paraId="0422CD2D" w14:textId="5627B921" w:rsidR="00ED0704" w:rsidRPr="00ED0704" w:rsidRDefault="00ED0704" w:rsidP="00ED070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CF61C53" wp14:editId="1CF3D3CC">
            <wp:extent cx="5731510" cy="1905000"/>
            <wp:effectExtent l="19050" t="19050" r="2159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090D7" w14:textId="5111023D" w:rsidR="002F500A" w:rsidRDefault="002F500A" w:rsidP="00ED0704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D0704">
        <w:rPr>
          <w:rFonts w:asciiTheme="majorBidi" w:hAnsiTheme="majorBidi" w:cstheme="majorBidi"/>
          <w:b/>
          <w:bCs/>
          <w:sz w:val="24"/>
          <w:szCs w:val="24"/>
        </w:rPr>
        <w:lastRenderedPageBreak/>
        <w:t>Step 2:</w:t>
      </w:r>
      <w:r w:rsidR="00ED07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0704">
        <w:rPr>
          <w:rFonts w:asciiTheme="majorBidi" w:hAnsiTheme="majorBidi" w:cstheme="majorBidi"/>
          <w:b/>
          <w:bCs/>
          <w:sz w:val="24"/>
          <w:szCs w:val="24"/>
        </w:rPr>
        <w:t>Lock the &lt;running/&gt; configuration datastore to avoid conflicts with other</w:t>
      </w:r>
      <w:r w:rsidR="00ED07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0704">
        <w:rPr>
          <w:rFonts w:asciiTheme="majorBidi" w:hAnsiTheme="majorBidi" w:cstheme="majorBidi"/>
          <w:b/>
          <w:bCs/>
          <w:sz w:val="24"/>
          <w:szCs w:val="24"/>
        </w:rPr>
        <w:t>clients.</w:t>
      </w:r>
    </w:p>
    <w:p w14:paraId="148FC2CB" w14:textId="27C6D18B" w:rsidR="00ED0704" w:rsidRPr="00ED0704" w:rsidRDefault="00ED0704" w:rsidP="00ED070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618276" wp14:editId="75ED640A">
            <wp:extent cx="5731510" cy="24955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grayscl/>
                    </a:blip>
                    <a:srcRect b="10722"/>
                    <a:stretch/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BCF7E" w14:textId="09EA00A2" w:rsidR="002F500A" w:rsidRDefault="002F500A" w:rsidP="00ED0704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D0704">
        <w:rPr>
          <w:rFonts w:asciiTheme="majorBidi" w:hAnsiTheme="majorBidi" w:cstheme="majorBidi"/>
          <w:b/>
          <w:bCs/>
          <w:sz w:val="24"/>
          <w:szCs w:val="24"/>
        </w:rPr>
        <w:t>Step 3:</w:t>
      </w:r>
      <w:r w:rsidR="00ED07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0704">
        <w:rPr>
          <w:rFonts w:asciiTheme="majorBidi" w:hAnsiTheme="majorBidi" w:cstheme="majorBidi"/>
          <w:b/>
          <w:bCs/>
          <w:sz w:val="24"/>
          <w:szCs w:val="24"/>
        </w:rPr>
        <w:t>Copy the data in the &lt;running/&gt; configuration datastore to the</w:t>
      </w:r>
      <w:r w:rsidR="00ED07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0704">
        <w:rPr>
          <w:rFonts w:asciiTheme="majorBidi" w:hAnsiTheme="majorBidi" w:cstheme="majorBidi"/>
          <w:b/>
          <w:bCs/>
          <w:sz w:val="24"/>
          <w:szCs w:val="24"/>
        </w:rPr>
        <w:t>&lt;candidate/&gt; configuration datastore to ensure that the configurations</w:t>
      </w:r>
      <w:r w:rsidR="00ED07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0704">
        <w:rPr>
          <w:rFonts w:asciiTheme="majorBidi" w:hAnsiTheme="majorBidi" w:cstheme="majorBidi"/>
          <w:b/>
          <w:bCs/>
          <w:sz w:val="24"/>
          <w:szCs w:val="24"/>
        </w:rPr>
        <w:t>are the latest.</w:t>
      </w:r>
    </w:p>
    <w:p w14:paraId="71270FE7" w14:textId="56732902" w:rsidR="00ED0704" w:rsidRPr="00ED0704" w:rsidRDefault="00ED0704" w:rsidP="00ED070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F91323" wp14:editId="0A40CFF3">
            <wp:extent cx="5731510" cy="2686050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grayscl/>
                    </a:blip>
                    <a:srcRect b="7843"/>
                    <a:stretch/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1A533" w14:textId="3782CBF0" w:rsidR="002F500A" w:rsidRDefault="002F500A" w:rsidP="002F500A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D0704">
        <w:rPr>
          <w:rFonts w:asciiTheme="majorBidi" w:hAnsiTheme="majorBidi" w:cstheme="majorBidi"/>
          <w:b/>
          <w:bCs/>
          <w:sz w:val="24"/>
          <w:szCs w:val="24"/>
        </w:rPr>
        <w:t>Step 4: Edit configurations in the &lt;candidate/&gt; configuration datastore.</w:t>
      </w:r>
    </w:p>
    <w:p w14:paraId="2FD69247" w14:textId="67B5D1F8" w:rsidR="00ED0704" w:rsidRPr="00ED0704" w:rsidRDefault="00ED0704" w:rsidP="002F500A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44FCD9" wp14:editId="4F82A5F8">
            <wp:extent cx="5731510" cy="2314575"/>
            <wp:effectExtent l="19050" t="19050" r="2159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grayscl/>
                    </a:blip>
                    <a:srcRect b="6906"/>
                    <a:stretch/>
                  </pic:blipFill>
                  <pic:spPr bwMode="auto"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5D2C7" w14:textId="6225E831" w:rsidR="002F500A" w:rsidRDefault="002F500A" w:rsidP="00ED0704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D0704">
        <w:rPr>
          <w:rFonts w:asciiTheme="majorBidi" w:hAnsiTheme="majorBidi" w:cstheme="majorBidi"/>
          <w:b/>
          <w:bCs/>
          <w:sz w:val="24"/>
          <w:szCs w:val="24"/>
        </w:rPr>
        <w:lastRenderedPageBreak/>
        <w:t>Step</w:t>
      </w:r>
      <w:r w:rsidR="00ED0704">
        <w:rPr>
          <w:rFonts w:asciiTheme="majorBidi" w:hAnsiTheme="majorBidi" w:cstheme="majorBidi"/>
          <w:b/>
          <w:bCs/>
          <w:sz w:val="24"/>
          <w:szCs w:val="24"/>
        </w:rPr>
        <w:t xml:space="preserve"> 5: </w:t>
      </w:r>
      <w:r w:rsidRPr="00ED0704">
        <w:rPr>
          <w:rFonts w:asciiTheme="majorBidi" w:hAnsiTheme="majorBidi" w:cstheme="majorBidi"/>
          <w:b/>
          <w:bCs/>
          <w:sz w:val="24"/>
          <w:szCs w:val="24"/>
        </w:rPr>
        <w:t>Commit configurations in the &lt;candidate/&gt; configuration datastore to the</w:t>
      </w:r>
      <w:r w:rsidR="00ED07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0704">
        <w:rPr>
          <w:rFonts w:asciiTheme="majorBidi" w:hAnsiTheme="majorBidi" w:cstheme="majorBidi"/>
          <w:b/>
          <w:bCs/>
          <w:sz w:val="24"/>
          <w:szCs w:val="24"/>
        </w:rPr>
        <w:t>&lt;running/&gt; configuration datastore.</w:t>
      </w:r>
    </w:p>
    <w:p w14:paraId="63499C7B" w14:textId="648282D1" w:rsidR="00ED0704" w:rsidRPr="00ED0704" w:rsidRDefault="00ED0704" w:rsidP="00ED0704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E186F4" wp14:editId="2E614211">
            <wp:extent cx="5731510" cy="1860550"/>
            <wp:effectExtent l="19050" t="19050" r="2159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863C06" w14:textId="64306110" w:rsidR="002F500A" w:rsidRDefault="002F500A" w:rsidP="00ED0704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D0704">
        <w:rPr>
          <w:rFonts w:asciiTheme="majorBidi" w:hAnsiTheme="majorBidi" w:cstheme="majorBidi"/>
          <w:b/>
          <w:bCs/>
          <w:sz w:val="24"/>
          <w:szCs w:val="24"/>
        </w:rPr>
        <w:t>Step 6:</w:t>
      </w:r>
      <w:r w:rsidR="00ED07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0704">
        <w:rPr>
          <w:rFonts w:asciiTheme="majorBidi" w:hAnsiTheme="majorBidi" w:cstheme="majorBidi"/>
          <w:b/>
          <w:bCs/>
          <w:sz w:val="24"/>
          <w:szCs w:val="24"/>
        </w:rPr>
        <w:t>Unlock the &lt;running/&gt; configuration datastore.</w:t>
      </w:r>
    </w:p>
    <w:p w14:paraId="2F088951" w14:textId="0C7E0B53" w:rsidR="00ED0704" w:rsidRDefault="00ED0704" w:rsidP="00ED0704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9E17AF" wp14:editId="53CD77E9">
            <wp:extent cx="5731510" cy="2589530"/>
            <wp:effectExtent l="19050" t="19050" r="2159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53549" w14:textId="4705D618" w:rsidR="00ED0704" w:rsidRPr="00ED0704" w:rsidRDefault="00ED0704" w:rsidP="00ED0704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5F333A1" w14:textId="6AEE064D" w:rsidR="00ED0704" w:rsidRPr="00ED0704" w:rsidRDefault="00ED0704" w:rsidP="00ED070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D0704">
        <w:rPr>
          <w:rFonts w:asciiTheme="majorBidi" w:hAnsiTheme="majorBidi" w:cstheme="majorBidi"/>
          <w:color w:val="231815"/>
          <w:sz w:val="24"/>
          <w:szCs w:val="24"/>
        </w:rPr>
        <w:t>Follow-up procedure: Terminate the NETCONF session and tear down the SSH</w:t>
      </w:r>
      <w:r>
        <w:rPr>
          <w:rFonts w:asciiTheme="majorBidi" w:hAnsiTheme="majorBidi" w:cstheme="majorBidi"/>
          <w:color w:val="231815"/>
          <w:sz w:val="24"/>
          <w:szCs w:val="24"/>
        </w:rPr>
        <w:t xml:space="preserve"> </w:t>
      </w:r>
      <w:r w:rsidRPr="00ED0704">
        <w:rPr>
          <w:rFonts w:asciiTheme="majorBidi" w:hAnsiTheme="majorBidi" w:cstheme="majorBidi"/>
          <w:color w:val="231815"/>
          <w:sz w:val="24"/>
          <w:szCs w:val="24"/>
        </w:rPr>
        <w:t>connection.</w:t>
      </w:r>
    </w:p>
    <w:p w14:paraId="609D1FC8" w14:textId="77777777" w:rsidR="002F500A" w:rsidRPr="00ED0704" w:rsidRDefault="002F500A" w:rsidP="002F500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sectPr w:rsidR="002F500A" w:rsidRPr="00ED0704" w:rsidSect="00FE2620">
      <w:headerReference w:type="default" r:id="rId19"/>
      <w:foot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63643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939751" w14:textId="77777777" w:rsidR="00CE50B7" w:rsidRPr="00CE50B7" w:rsidRDefault="0095400E" w:rsidP="00CE50B7">
        <w:pPr>
          <w:pStyle w:val="Footer"/>
          <w:rPr>
            <w:rFonts w:ascii="Lucida Calligraphy" w:hAnsi="Lucida Calligraphy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903D80">
          <w:rPr>
            <w:rFonts w:ascii="Lucida Calligraphy" w:hAnsi="Lucida Calligraphy"/>
          </w:rPr>
          <w:t>Mr. Jawwad A R Kazi</w:t>
        </w:r>
      </w:p>
    </w:sdtContent>
  </w:sdt>
  <w:p w14:paraId="2420FA0F" w14:textId="77777777" w:rsidR="007B61D9" w:rsidRPr="00CE50B7" w:rsidRDefault="0095400E" w:rsidP="00CE50B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71533" w14:textId="77777777" w:rsidR="00CE50B7" w:rsidRPr="008919EC" w:rsidRDefault="0095400E" w:rsidP="008919EC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8919EC">
      <w:rPr>
        <w:rFonts w:asciiTheme="majorBidi" w:hAnsiTheme="majorBidi" w:cstheme="majorBidi"/>
        <w:b/>
        <w:bCs/>
        <w:sz w:val="24"/>
        <w:szCs w:val="24"/>
      </w:rPr>
      <w:t>IoE - ASSIGNMENT 2</w:t>
    </w:r>
  </w:p>
  <w:p w14:paraId="7FE5085C" w14:textId="77777777" w:rsidR="008919EC" w:rsidRPr="008919EC" w:rsidRDefault="0095400E" w:rsidP="008919EC">
    <w:pPr>
      <w:pStyle w:val="Header"/>
      <w:rPr>
        <w:rFonts w:ascii="Lucida Calligraphy" w:hAnsi="Lucida Calligraphy" w:cstheme="majorBidi"/>
        <w:b/>
        <w:bCs/>
        <w:sz w:val="24"/>
        <w:szCs w:val="24"/>
      </w:rPr>
    </w:pPr>
    <w:r w:rsidRPr="008919EC">
      <w:rPr>
        <w:rFonts w:ascii="Lucida Calligraphy" w:hAnsi="Lucida Calligraphy" w:cstheme="majorBidi"/>
        <w:b/>
        <w:bCs/>
        <w:sz w:val="24"/>
        <w:szCs w:val="24"/>
      </w:rPr>
      <w:t>Name: Kazi Jawwad A Rahim</w:t>
    </w:r>
    <w:r w:rsidRPr="008919EC">
      <w:rPr>
        <w:rFonts w:ascii="Lucida Calligraphy" w:hAnsi="Lucida Calligraphy" w:cstheme="majorBidi"/>
        <w:b/>
        <w:bCs/>
        <w:sz w:val="24"/>
        <w:szCs w:val="24"/>
      </w:rPr>
      <w:tab/>
    </w:r>
    <w:r w:rsidRPr="008919EC">
      <w:rPr>
        <w:rFonts w:ascii="Lucida Calligraphy" w:hAnsi="Lucida Calligraphy" w:cstheme="majorBidi"/>
        <w:b/>
        <w:bCs/>
        <w:sz w:val="24"/>
        <w:szCs w:val="24"/>
      </w:rPr>
      <w:tab/>
      <w:t>Roll No: 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5199"/>
    <w:multiLevelType w:val="hybridMultilevel"/>
    <w:tmpl w:val="2F8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55280"/>
    <w:multiLevelType w:val="hybridMultilevel"/>
    <w:tmpl w:val="9BD81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3C3AE5"/>
    <w:multiLevelType w:val="hybridMultilevel"/>
    <w:tmpl w:val="6C5EB93E"/>
    <w:lvl w:ilvl="0" w:tplc="113EBF3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4C6C30"/>
    <w:multiLevelType w:val="hybridMultilevel"/>
    <w:tmpl w:val="581EE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E52D4"/>
    <w:multiLevelType w:val="hybridMultilevel"/>
    <w:tmpl w:val="C49C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26B14"/>
    <w:multiLevelType w:val="hybridMultilevel"/>
    <w:tmpl w:val="3BB4EBA2"/>
    <w:lvl w:ilvl="0" w:tplc="113EBF3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5Waq2x3Rxy+aaMAMoytG5GKKgRbQLXuL4+LPIncJvIlnvK9CqQtFM30o/GWhxrRlFbmt+U+bHnJkLPYtmg/Jjw==" w:salt="uJTKAeGxCtCENBh8OWGEO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0F"/>
    <w:rsid w:val="00072AAB"/>
    <w:rsid w:val="00076A0F"/>
    <w:rsid w:val="000F683C"/>
    <w:rsid w:val="00113B32"/>
    <w:rsid w:val="002F500A"/>
    <w:rsid w:val="00307F6F"/>
    <w:rsid w:val="005B5B8C"/>
    <w:rsid w:val="00663892"/>
    <w:rsid w:val="00891AC5"/>
    <w:rsid w:val="0095400E"/>
    <w:rsid w:val="00980898"/>
    <w:rsid w:val="009C1867"/>
    <w:rsid w:val="00AF6685"/>
    <w:rsid w:val="00CD0624"/>
    <w:rsid w:val="00D913D3"/>
    <w:rsid w:val="00ED0704"/>
    <w:rsid w:val="00F543A7"/>
    <w:rsid w:val="00FE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293A"/>
  <w15:chartTrackingRefBased/>
  <w15:docId w15:val="{B1592B7D-BF2C-462F-A715-AC7F56D1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6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A0F"/>
  </w:style>
  <w:style w:type="paragraph" w:styleId="Footer">
    <w:name w:val="footer"/>
    <w:basedOn w:val="Normal"/>
    <w:link w:val="FooterChar"/>
    <w:uiPriority w:val="99"/>
    <w:unhideWhenUsed/>
    <w:rsid w:val="0007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A0F"/>
  </w:style>
  <w:style w:type="paragraph" w:styleId="NormalWeb">
    <w:name w:val="Normal (Web)"/>
    <w:basedOn w:val="Normal"/>
    <w:uiPriority w:val="99"/>
    <w:unhideWhenUsed/>
    <w:rsid w:val="00076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7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848</Words>
  <Characters>4840</Characters>
  <Application>Microsoft Office Word</Application>
  <DocSecurity>8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14</cp:revision>
  <cp:lastPrinted>2020-03-27T04:11:00Z</cp:lastPrinted>
  <dcterms:created xsi:type="dcterms:W3CDTF">2020-03-27T02:45:00Z</dcterms:created>
  <dcterms:modified xsi:type="dcterms:W3CDTF">2020-03-27T04:13:00Z</dcterms:modified>
</cp:coreProperties>
</file>