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718096"/>
          <w:sz w:val="17"/>
        </w:rPr>
        <w:t>CORPORATE OPERATIONS &amp; FINANCE ANALYTICS | STRATEGIC REPORT</w:t>
      </w:r>
    </w:p>
    <w:p>
      <w:pPr>
        <w:spacing w:after="240"/>
      </w:pPr>
      <w:r>
        <w:rPr>
          <w:b/>
          <w:color w:val="1A365D"/>
          <w:sz w:val="40"/>
        </w:rPr>
        <w:t>Data-Driven Demand Forecasting &amp; Inventory Strategy</w:t>
      </w:r>
    </w:p>
    <w:tbl>
      <w:tblPr>
        <w:tblW w:type="auto" w:w="0"/>
        <w:jc w:val="center"/>
        <w:tblLayout w:type="fixed"/>
        <w:tblLook w:firstColumn="1" w:firstRow="1" w:lastColumn="0" w:lastRow="0" w:noHBand="0" w:noVBand="1" w:val="04A0"/>
      </w:tblPr>
      <w:tblGrid>
        <w:gridCol w:w="4680"/>
        <w:gridCol w:w="4680"/>
      </w:tblGrid>
      <w:tr>
        <w:tc>
          <w:tcPr>
            <w:tcW w:type="dxa" w:w="4680"/>
            <w:tcMar>
              <w:top w:w="60" w:type="dxa"/>
              <w:bottom w:w="60" w:type="dxa"/>
              <w:left w:w="60" w:type="dxa"/>
              <w:right w:w="60" w:type="dxa"/>
            </w:tcMar>
          </w:tcPr>
          <w:p>
            <w:pPr>
              <w:spacing w:after="40"/>
            </w:pPr>
            <w:r>
              <w:rPr>
                <w:b/>
                <w:color w:val="1A365D"/>
                <w:sz w:val="18"/>
              </w:rPr>
              <w:t xml:space="preserve">To: </w:t>
            </w:r>
            <w:r>
              <w:rPr>
                <w:sz w:val="18"/>
              </w:rPr>
              <w:t>Head of Supply Chain &amp; Chief Financial Officer</w:t>
            </w:r>
          </w:p>
        </w:tc>
        <w:tc>
          <w:tcPr>
            <w:tcW w:type="dxa" w:w="4680"/>
            <w:tcMar>
              <w:top w:w="60" w:type="dxa"/>
              <w:bottom w:w="60" w:type="dxa"/>
              <w:left w:w="60" w:type="dxa"/>
              <w:right w:w="60" w:type="dxa"/>
            </w:tcMar>
          </w:tcPr>
          <w:p>
            <w:pPr>
              <w:spacing w:after="40"/>
            </w:pPr>
            <w:r>
              <w:rPr>
                <w:b/>
                <w:color w:val="1A365D"/>
                <w:sz w:val="18"/>
              </w:rPr>
              <w:t xml:space="preserve">Date: </w:t>
            </w:r>
            <w:r>
              <w:rPr>
                <w:sz w:val="18"/>
              </w:rPr>
              <w:t>July 12, 2026</w:t>
            </w:r>
          </w:p>
        </w:tc>
      </w:tr>
      <w:tr>
        <w:tc>
          <w:tcPr>
            <w:tcW w:type="dxa" w:w="4680"/>
            <w:tcMar>
              <w:top w:w="60" w:type="dxa"/>
              <w:bottom w:w="60" w:type="dxa"/>
              <w:left w:w="60" w:type="dxa"/>
              <w:right w:w="60" w:type="dxa"/>
            </w:tcMar>
          </w:tcPr>
          <w:p>
            <w:pPr>
              <w:spacing w:after="40"/>
            </w:pPr>
            <w:r>
              <w:rPr>
                <w:b/>
                <w:color w:val="1A365D"/>
                <w:sz w:val="18"/>
              </w:rPr>
              <w:t xml:space="preserve">From: </w:t>
            </w:r>
            <w:r>
              <w:rPr>
                <w:sz w:val="18"/>
              </w:rPr>
              <w:t>Lead Operations &amp; Demand Analytics</w:t>
            </w:r>
          </w:p>
        </w:tc>
        <w:tc>
          <w:tcPr>
            <w:tcW w:type="dxa" w:w="4680"/>
            <w:tcMar>
              <w:top w:w="60" w:type="dxa"/>
              <w:bottom w:w="60" w:type="dxa"/>
              <w:left w:w="60" w:type="dxa"/>
              <w:right w:w="60" w:type="dxa"/>
            </w:tcMar>
          </w:tcPr>
          <w:p>
            <w:pPr>
              <w:spacing w:after="40"/>
            </w:pPr>
            <w:r>
              <w:rPr>
                <w:b/>
                <w:color w:val="1A365D"/>
                <w:sz w:val="18"/>
              </w:rPr>
              <w:t xml:space="preserve">Subject: </w:t>
            </w:r>
            <w:r>
              <w:rPr>
                <w:sz w:val="18"/>
              </w:rPr>
              <w:t>Multi-Source Demand Intelligence Strategy</w:t>
            </w:r>
          </w:p>
        </w:tc>
      </w:tr>
    </w:tbl>
    <w:p>
      <w:pPr>
        <w:spacing w:before="120" w:after="360"/>
      </w:pPr>
      <w:r>
        <w:rPr>
          <w:color w:val="1A365D"/>
        </w:rPr>
        <w:t>_________________________________________________________________________________</w:t>
      </w:r>
    </w:p>
    <w:p>
      <w:pPr>
        <w:keepNext/>
        <w:spacing w:before="360" w:after="120"/>
      </w:pPr>
      <w:r>
        <w:rPr>
          <w:b/>
          <w:color w:val="1A365D"/>
          <w:sz w:val="26"/>
        </w:rPr>
        <w:t>Executive Summary</w:t>
      </w:r>
    </w:p>
    <w:p>
      <w:pPr>
        <w:spacing w:after="240" w:line="312" w:lineRule="auto"/>
      </w:pPr>
      <w:r>
        <w:rPr>
          <w:i/>
        </w:rPr>
        <w:t>This report outlines a unified operational blueprint to optimize working capital and protect retail fulfillment rates by aligning corporate ledger trends with external consumer insights. By applying advanced statistical baseline modeling alongside advanced machine learning density analysis, we isolated historical revenue shocks from underlying operational growth patterns. Our results reveal an organization experiencing robust macro growth, punctuated by sharp, predictable mid-summer and late-year promotional surges, alongside structural shifts in customer demand profiles. Implementing the data-backed stocking strategies detailed herein will prevent inventory obsolescence in declining lines, aggressively secure market share in high-growth segments, and insulate the supply chain against erratic demand spikes without locking up unnecessary cash reserves.</w:t>
      </w:r>
    </w:p>
    <w:p>
      <w:pPr>
        <w:keepNext/>
        <w:spacing w:before="360" w:after="120"/>
      </w:pPr>
      <w:r>
        <w:rPr>
          <w:b/>
          <w:color w:val="1A365D"/>
          <w:sz w:val="26"/>
        </w:rPr>
        <w:t>Key Findings from EDA &amp; Baseline Modeling</w:t>
      </w:r>
    </w:p>
    <w:p>
      <w:pPr>
        <w:spacing w:after="120"/>
      </w:pPr>
      <w:r>
        <w:t>Exploratory Data Analysis (EDA) confirms that our retail ecosystem is expanding dynamically, moving from a standard historical revenue baseline to an elevated baseline by late 2018. The sales infrastructure follows highly systematic structural patterns rather than chaotic distributions.</w:t>
      </w:r>
    </w:p>
    <w:p>
      <w:pPr>
        <w:pStyle w:val="ListBullet"/>
        <w:spacing w:after="80"/>
      </w:pPr>
      <w:r>
        <w:rPr>
          <w:b/>
          <w:color w:val="2B6CB0"/>
        </w:rPr>
        <w:t xml:space="preserve">Structural Growth &amp; Shift: </w:t>
      </w:r>
      <w:r>
        <w:t>A clear long-term linear upward growth trajectory exists. Baseline sales volumes in late 2018 consistently outperform historical peaks from 2015 and 2016, confirming an expanding enterprise footprint.</w:t>
      </w:r>
    </w:p>
    <w:p>
      <w:pPr>
        <w:pStyle w:val="ListBullet"/>
        <w:spacing w:after="80"/>
      </w:pPr>
      <w:r>
        <w:rPr>
          <w:b/>
          <w:color w:val="2B6CB0"/>
        </w:rPr>
        <w:t xml:space="preserve">The Mid-Year Surge Engine: </w:t>
      </w:r>
      <w:r>
        <w:t>Every July and August, weekly data records a tight, dense seasonal wave. This pattern corresponds directly to the American consumer calendar, heavily driven by the mid-July promotional cycle and back-to-school institutional procurement blocks.</w:t>
      </w:r>
    </w:p>
    <w:p>
      <w:pPr>
        <w:pStyle w:val="ListBullet"/>
        <w:spacing w:after="80"/>
      </w:pPr>
      <w:r>
        <w:rPr>
          <w:b/>
          <w:color w:val="2B6CB0"/>
        </w:rPr>
        <w:t xml:space="preserve">Model Selection Rationalization: </w:t>
      </w:r>
      <w:r>
        <w:t>Because our core baseline behaves with strict, predictable seasonal cycles, traditional statistical modeling (SARIMA) successfully mapped the recurring trends, achieving a highly reliable operational baseline. However, to effectively anticipate sudden out-of-season shocks and capture high-growth market dynamics, integrating external data streams into our machine learning models (XGBoost) remains mandatory.</w:t>
      </w:r>
    </w:p>
    <w:p>
      <w:pPr>
        <w:keepNext/>
        <w:spacing w:before="360" w:after="120"/>
      </w:pPr>
      <w:r>
        <w:rPr>
          <w:b/>
          <w:color w:val="1A365D"/>
          <w:sz w:val="26"/>
        </w:rPr>
        <w:t>3-Month Advanced Sales Horizon Forecast</w:t>
      </w:r>
    </w:p>
    <w:p>
      <w:pPr>
        <w:spacing w:after="160"/>
      </w:pPr>
      <w:r>
        <w:t>The following matrix outlines our core revenue projections over the upcoming 12-week operational cycle. The ranges represent our 95% statistical confidence boundaries, defining the minimum and maximum volume targets the supply chain must be prepared to absorb.</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100" w:type="dxa"/>
              <w:right w:w="100" w:type="dxa"/>
            </w:tcMar>
          </w:tcPr>
          <w:p>
            <w:pPr>
              <w:spacing w:after="0"/>
            </w:pPr>
            <w:r>
              <w:rPr>
                <w:b/>
                <w:color w:val="FFFFFF"/>
                <w:sz w:val="19"/>
              </w:rPr>
              <w:t>Forecast Horizon</w:t>
            </w:r>
          </w:p>
        </w:tc>
        <w:tc>
          <w:tcPr>
            <w:tcW w:type="dxa" w:w="1584"/>
            <w:shd w:fill="1A365D"/>
            <w:tcMar>
              <w:top w:w="100" w:type="dxa"/>
              <w:bottom w:w="100" w:type="dxa"/>
              <w:left w:w="100" w:type="dxa"/>
              <w:right w:w="100" w:type="dxa"/>
            </w:tcMar>
          </w:tcPr>
          <w:p>
            <w:pPr>
              <w:spacing w:after="0"/>
              <w:jc w:val="right"/>
            </w:pPr>
            <w:r>
              <w:rPr>
                <w:b/>
                <w:color w:val="FFFFFF"/>
                <w:sz w:val="19"/>
              </w:rPr>
              <w:t>Projected Sales</w:t>
            </w:r>
          </w:p>
        </w:tc>
        <w:tc>
          <w:tcPr>
            <w:tcW w:type="dxa" w:w="1584"/>
            <w:shd w:fill="1A365D"/>
            <w:tcMar>
              <w:top w:w="100" w:type="dxa"/>
              <w:bottom w:w="100" w:type="dxa"/>
              <w:left w:w="100" w:type="dxa"/>
              <w:right w:w="100" w:type="dxa"/>
            </w:tcMar>
          </w:tcPr>
          <w:p>
            <w:pPr>
              <w:spacing w:after="0"/>
              <w:jc w:val="right"/>
            </w:pPr>
            <w:r>
              <w:rPr>
                <w:b/>
                <w:color w:val="FFFFFF"/>
                <w:sz w:val="19"/>
              </w:rPr>
              <w:t>Lower Bound</w:t>
            </w:r>
          </w:p>
        </w:tc>
        <w:tc>
          <w:tcPr>
            <w:tcW w:type="dxa" w:w="1584"/>
            <w:shd w:fill="1A365D"/>
            <w:tcMar>
              <w:top w:w="100" w:type="dxa"/>
              <w:bottom w:w="100" w:type="dxa"/>
              <w:left w:w="100" w:type="dxa"/>
              <w:right w:w="100" w:type="dxa"/>
            </w:tcMar>
          </w:tcPr>
          <w:p>
            <w:pPr>
              <w:spacing w:after="0"/>
              <w:jc w:val="right"/>
            </w:pPr>
            <w:r>
              <w:rPr>
                <w:b/>
                <w:color w:val="FFFFFF"/>
                <w:sz w:val="19"/>
              </w:rPr>
              <w:t>Upper Bound</w:t>
            </w:r>
          </w:p>
        </w:tc>
        <w:tc>
          <w:tcPr>
            <w:tcW w:type="dxa" w:w="2880"/>
            <w:shd w:fill="1A365D"/>
            <w:tcMar>
              <w:top w:w="100" w:type="dxa"/>
              <w:bottom w:w="100" w:type="dxa"/>
              <w:left w:w="100" w:type="dxa"/>
              <w:right w:w="100" w:type="dxa"/>
            </w:tcMar>
          </w:tcPr>
          <w:p>
            <w:pPr>
              <w:spacing w:after="0"/>
            </w:pPr>
            <w:r>
              <w:rPr>
                <w:b/>
                <w:color w:val="FFFFFF"/>
                <w:sz w:val="19"/>
              </w:rPr>
              <w:t>Operational Focus Area</w:t>
            </w:r>
          </w:p>
        </w:tc>
      </w:tr>
      <w:tr>
        <w:tc>
          <w:tcPr>
            <w:tcW w:type="dxa" w:w="1728"/>
            <w:shd w:fill="FFFFFF"/>
            <w:tcMar>
              <w:top w:w="80" w:type="dxa"/>
              <w:bottom w:w="80" w:type="dxa"/>
              <w:left w:w="100" w:type="dxa"/>
              <w:right w:w="100" w:type="dxa"/>
            </w:tcMar>
          </w:tcPr>
          <w:p>
            <w:pPr>
              <w:spacing w:after="0"/>
            </w:pPr>
            <w:r>
              <w:rPr>
                <w:b/>
                <w:sz w:val="18"/>
              </w:rPr>
              <w:t>Month 1 (W1-4)</w:t>
            </w:r>
          </w:p>
        </w:tc>
        <w:tc>
          <w:tcPr>
            <w:tcW w:type="dxa" w:w="1584"/>
            <w:shd w:fill="FFFFFF"/>
            <w:tcMar>
              <w:top w:w="80" w:type="dxa"/>
              <w:bottom w:w="80" w:type="dxa"/>
              <w:left w:w="100" w:type="dxa"/>
              <w:right w:w="100" w:type="dxa"/>
            </w:tcMar>
          </w:tcPr>
          <w:p>
            <w:pPr>
              <w:spacing w:after="0"/>
              <w:jc w:val="right"/>
            </w:pPr>
            <w:r>
              <w:rPr>
                <w:sz w:val="18"/>
              </w:rPr>
              <w:t>$78,450.00</w:t>
            </w:r>
          </w:p>
        </w:tc>
        <w:tc>
          <w:tcPr>
            <w:tcW w:type="dxa" w:w="1584"/>
            <w:shd w:fill="FFFFFF"/>
            <w:tcMar>
              <w:top w:w="80" w:type="dxa"/>
              <w:bottom w:w="80" w:type="dxa"/>
              <w:left w:w="100" w:type="dxa"/>
              <w:right w:w="100" w:type="dxa"/>
            </w:tcMar>
          </w:tcPr>
          <w:p>
            <w:pPr>
              <w:spacing w:after="0"/>
              <w:jc w:val="right"/>
            </w:pPr>
            <w:r>
              <w:rPr>
                <w:sz w:val="18"/>
              </w:rPr>
              <w:t>$71,200.00</w:t>
            </w:r>
          </w:p>
        </w:tc>
        <w:tc>
          <w:tcPr>
            <w:tcW w:type="dxa" w:w="1584"/>
            <w:shd w:fill="FFFFFF"/>
            <w:tcMar>
              <w:top w:w="80" w:type="dxa"/>
              <w:bottom w:w="80" w:type="dxa"/>
              <w:left w:w="100" w:type="dxa"/>
              <w:right w:w="100" w:type="dxa"/>
            </w:tcMar>
          </w:tcPr>
          <w:p>
            <w:pPr>
              <w:spacing w:after="0"/>
              <w:jc w:val="right"/>
            </w:pPr>
            <w:r>
              <w:rPr>
                <w:sz w:val="18"/>
              </w:rPr>
              <w:t>$85,700.00</w:t>
            </w:r>
          </w:p>
        </w:tc>
        <w:tc>
          <w:tcPr>
            <w:tcW w:type="dxa" w:w="2880"/>
            <w:shd w:fill="FFFFFF"/>
            <w:tcMar>
              <w:top w:w="80" w:type="dxa"/>
              <w:bottom w:w="80" w:type="dxa"/>
              <w:left w:w="100" w:type="dxa"/>
              <w:right w:w="100" w:type="dxa"/>
            </w:tcMar>
          </w:tcPr>
          <w:p>
            <w:pPr>
              <w:spacing w:after="0"/>
            </w:pPr>
            <w:r>
              <w:rPr>
                <w:sz w:val="18"/>
              </w:rPr>
              <w:t>Lean baseline fulfillment; prepare summer pipelines.</w:t>
            </w:r>
          </w:p>
        </w:tc>
      </w:tr>
      <w:tr>
        <w:tc>
          <w:tcPr>
            <w:tcW w:type="dxa" w:w="1728"/>
            <w:shd w:fill="F8FAFC"/>
            <w:tcMar>
              <w:top w:w="80" w:type="dxa"/>
              <w:bottom w:w="80" w:type="dxa"/>
              <w:left w:w="100" w:type="dxa"/>
              <w:right w:w="100" w:type="dxa"/>
            </w:tcMar>
          </w:tcPr>
          <w:p>
            <w:pPr>
              <w:spacing w:after="0"/>
            </w:pPr>
            <w:r>
              <w:rPr>
                <w:b/>
                <w:sz w:val="18"/>
              </w:rPr>
              <w:t>Month 2 (W5-8)</w:t>
            </w:r>
          </w:p>
        </w:tc>
        <w:tc>
          <w:tcPr>
            <w:tcW w:type="dxa" w:w="1584"/>
            <w:shd w:fill="F8FAFC"/>
            <w:tcMar>
              <w:top w:w="80" w:type="dxa"/>
              <w:bottom w:w="80" w:type="dxa"/>
              <w:left w:w="100" w:type="dxa"/>
              <w:right w:w="100" w:type="dxa"/>
            </w:tcMar>
          </w:tcPr>
          <w:p>
            <w:pPr>
              <w:spacing w:after="0"/>
              <w:jc w:val="right"/>
            </w:pPr>
            <w:r>
              <w:rPr>
                <w:sz w:val="18"/>
              </w:rPr>
              <w:t>$92,100.00</w:t>
            </w:r>
          </w:p>
        </w:tc>
        <w:tc>
          <w:tcPr>
            <w:tcW w:type="dxa" w:w="1584"/>
            <w:shd w:fill="F8FAFC"/>
            <w:tcMar>
              <w:top w:w="80" w:type="dxa"/>
              <w:bottom w:w="80" w:type="dxa"/>
              <w:left w:w="100" w:type="dxa"/>
              <w:right w:w="100" w:type="dxa"/>
            </w:tcMar>
          </w:tcPr>
          <w:p>
            <w:pPr>
              <w:spacing w:after="0"/>
              <w:jc w:val="right"/>
            </w:pPr>
            <w:r>
              <w:rPr>
                <w:sz w:val="18"/>
              </w:rPr>
              <w:t>$83,900.00</w:t>
            </w:r>
          </w:p>
        </w:tc>
        <w:tc>
          <w:tcPr>
            <w:tcW w:type="dxa" w:w="1584"/>
            <w:shd w:fill="F8FAFC"/>
            <w:tcMar>
              <w:top w:w="80" w:type="dxa"/>
              <w:bottom w:w="80" w:type="dxa"/>
              <w:left w:w="100" w:type="dxa"/>
              <w:right w:w="100" w:type="dxa"/>
            </w:tcMar>
          </w:tcPr>
          <w:p>
            <w:pPr>
              <w:spacing w:after="0"/>
              <w:jc w:val="right"/>
            </w:pPr>
            <w:r>
              <w:rPr>
                <w:sz w:val="18"/>
              </w:rPr>
              <w:t>$100,300.00</w:t>
            </w:r>
          </w:p>
        </w:tc>
        <w:tc>
          <w:tcPr>
            <w:tcW w:type="dxa" w:w="2880"/>
            <w:shd w:fill="F8FAFC"/>
            <w:tcMar>
              <w:top w:w="80" w:type="dxa"/>
              <w:bottom w:w="80" w:type="dxa"/>
              <w:left w:w="100" w:type="dxa"/>
              <w:right w:w="100" w:type="dxa"/>
            </w:tcMar>
          </w:tcPr>
          <w:p>
            <w:pPr>
              <w:spacing w:after="0"/>
            </w:pPr>
            <w:r>
              <w:rPr>
                <w:sz w:val="18"/>
              </w:rPr>
              <w:t>High-velocity promo window; optimize logistics bandwidth.</w:t>
            </w:r>
          </w:p>
        </w:tc>
      </w:tr>
      <w:tr>
        <w:tc>
          <w:tcPr>
            <w:tcW w:type="dxa" w:w="1728"/>
            <w:shd w:fill="FFFFFF"/>
            <w:tcMar>
              <w:top w:w="80" w:type="dxa"/>
              <w:bottom w:w="80" w:type="dxa"/>
              <w:left w:w="100" w:type="dxa"/>
              <w:right w:w="100" w:type="dxa"/>
            </w:tcMar>
          </w:tcPr>
          <w:p>
            <w:pPr>
              <w:spacing w:after="0"/>
            </w:pPr>
            <w:r>
              <w:rPr>
                <w:b/>
                <w:sz w:val="18"/>
              </w:rPr>
              <w:t>Month 3 (W9-12)</w:t>
            </w:r>
          </w:p>
        </w:tc>
        <w:tc>
          <w:tcPr>
            <w:tcW w:type="dxa" w:w="1584"/>
            <w:shd w:fill="FFFFFF"/>
            <w:tcMar>
              <w:top w:w="80" w:type="dxa"/>
              <w:bottom w:w="80" w:type="dxa"/>
              <w:left w:w="100" w:type="dxa"/>
              <w:right w:w="100" w:type="dxa"/>
            </w:tcMar>
          </w:tcPr>
          <w:p>
            <w:pPr>
              <w:spacing w:after="0"/>
              <w:jc w:val="right"/>
            </w:pPr>
            <w:r>
              <w:rPr>
                <w:sz w:val="18"/>
              </w:rPr>
              <w:t>$84,650.00</w:t>
            </w:r>
          </w:p>
        </w:tc>
        <w:tc>
          <w:tcPr>
            <w:tcW w:type="dxa" w:w="1584"/>
            <w:shd w:fill="FFFFFF"/>
            <w:tcMar>
              <w:top w:w="80" w:type="dxa"/>
              <w:bottom w:w="80" w:type="dxa"/>
              <w:left w:w="100" w:type="dxa"/>
              <w:right w:w="100" w:type="dxa"/>
            </w:tcMar>
          </w:tcPr>
          <w:p>
            <w:pPr>
              <w:spacing w:after="0"/>
              <w:jc w:val="right"/>
            </w:pPr>
            <w:r>
              <w:rPr>
                <w:sz w:val="18"/>
              </w:rPr>
              <w:t>$76,100.00</w:t>
            </w:r>
          </w:p>
        </w:tc>
        <w:tc>
          <w:tcPr>
            <w:tcW w:type="dxa" w:w="1584"/>
            <w:shd w:fill="FFFFFF"/>
            <w:tcMar>
              <w:top w:w="80" w:type="dxa"/>
              <w:bottom w:w="80" w:type="dxa"/>
              <w:left w:w="100" w:type="dxa"/>
              <w:right w:w="100" w:type="dxa"/>
            </w:tcMar>
          </w:tcPr>
          <w:p>
            <w:pPr>
              <w:spacing w:after="0"/>
              <w:jc w:val="right"/>
            </w:pPr>
            <w:r>
              <w:rPr>
                <w:sz w:val="18"/>
              </w:rPr>
              <w:t>$93,200.00</w:t>
            </w:r>
          </w:p>
        </w:tc>
        <w:tc>
          <w:tcPr>
            <w:tcW w:type="dxa" w:w="2880"/>
            <w:shd w:fill="FFFFFF"/>
            <w:tcMar>
              <w:top w:w="80" w:type="dxa"/>
              <w:bottom w:w="80" w:type="dxa"/>
              <w:left w:w="100" w:type="dxa"/>
              <w:right w:w="100" w:type="dxa"/>
            </w:tcMar>
          </w:tcPr>
          <w:p>
            <w:pPr>
              <w:spacing w:after="0"/>
            </w:pPr>
            <w:r>
              <w:rPr>
                <w:sz w:val="18"/>
              </w:rPr>
              <w:t>Post-surge stabilization; transition to standard ROP.</w:t>
            </w:r>
          </w:p>
        </w:tc>
      </w:tr>
    </w:tbl>
    <w:p>
      <w:pPr>
        <w:spacing w:before="80" w:after="240"/>
      </w:pPr>
      <w:r>
        <w:rPr>
          <w:i/>
          <w:color w:val="4A5568"/>
          <w:sz w:val="17"/>
        </w:rPr>
        <w:t>*Note: In plain terms, we anticipate a sharp 17.4% demand increase during Month 2. The supply chain must scale capacity to meet the aggressive $100,300 upper threshold, while procurement should use the conservative $83,900 mark to set absolute minimum safety buffers.</w:t>
      </w:r>
    </w:p>
    <w:p>
      <w:pPr>
        <w:keepNext/>
        <w:spacing w:before="360" w:after="120"/>
      </w:pPr>
      <w:r>
        <w:rPr>
          <w:b/>
          <w:color w:val="1A365D"/>
          <w:sz w:val="26"/>
        </w:rPr>
        <w:t>Top 3 Detected Operational Anomalies</w:t>
      </w:r>
    </w:p>
    <w:p>
      <w:pPr>
        <w:spacing w:after="120"/>
      </w:pPr>
      <w:r>
        <w:t>Using multi-dimensional density mapping, we isolated true operational disruptions from our natural business growth trend. The top three critical historical shocks identified include:</w:t>
      </w:r>
    </w:p>
    <w:p>
      <w:pPr>
        <w:pStyle w:val="ListNumber"/>
        <w:spacing w:after="120"/>
      </w:pPr>
      <w:r>
        <w:rPr>
          <w:b/>
        </w:rPr>
        <w:t xml:space="preserve">Early 2015 Operational Shock (Extreme Revenue Volatility): </w:t>
      </w:r>
      <w:r>
        <w:t>Sales experienced an unprecedented initial surge to $38,000, immediately followed by severe drops down to near-zero. Likely Cause: Classic launch-phase behavior, where massive initial warehouse-stuffing or pre-orders completely exhausted available stock, resulting in subsequent catastrophic inventory stockouts and system reporting dropouts.</w:t>
      </w:r>
    </w:p>
    <w:p>
      <w:pPr>
        <w:pStyle w:val="ListNumber"/>
        <w:spacing w:after="120"/>
      </w:pPr>
      <w:r>
        <w:rPr>
          <w:b/>
        </w:rPr>
        <w:t xml:space="preserve">Mid-2015 &amp; Late-2016 Out-of-Season Spikes: </w:t>
      </w:r>
      <w:r>
        <w:t>Isolated sales spikes smashed through the $28,000–$30,000 threshold during low-season autumn months. Likely Cause: Large-scale corporate or institutional B2B procurement contract closures that operate entirely outside standard retail consumer holiday cycles.</w:t>
      </w:r>
    </w:p>
    <w:p>
      <w:pPr>
        <w:pStyle w:val="ListNumber"/>
        <w:spacing w:after="120"/>
      </w:pPr>
      <w:r>
        <w:rPr>
          <w:b/>
        </w:rPr>
        <w:t xml:space="preserve">Late 2018 Hyper-Growth Deviations: </w:t>
      </w:r>
      <w:r>
        <w:t>Multiple weeks in Q4 broke past the $36,000 ceiling, triggering anomaly alerts. Likely Cause: Record-breaking consumer e-commerce adoption during Black Friday and Cyber Monday week, combined with a structural upscale in corporate volume that outpaced the model's historical baseline.</w:t>
      </w:r>
    </w:p>
    <w:p>
      <w:pPr>
        <w:keepNext/>
        <w:spacing w:before="360" w:after="120"/>
      </w:pPr>
      <w:r>
        <w:rPr>
          <w:b/>
          <w:color w:val="1A365D"/>
          <w:sz w:val="26"/>
        </w:rPr>
        <w:t>Product Demand Segmentation &amp; Stocking Strategy</w:t>
      </w:r>
    </w:p>
    <w:p>
      <w:pPr>
        <w:spacing w:after="160"/>
      </w:pPr>
      <w:r>
        <w:t>By clustering our sub-categories across volume, volatility, and year-over-year (YoY) growth, products have been segmented into four distinct mathematical demand groups to automate purchasing behavior: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Mar>
              <w:top w:w="100" w:type="dxa"/>
              <w:bottom w:w="100" w:type="dxa"/>
              <w:left w:w="100" w:type="dxa"/>
              <w:right w:w="100" w:type="dxa"/>
            </w:tcMar>
          </w:tcPr>
          <w:p>
            <w:pPr>
              <w:spacing w:after="0"/>
            </w:pPr>
            <w:r>
              <w:rPr>
                <w:b/>
                <w:color w:val="FFFFFF"/>
                <w:sz w:val="19"/>
              </w:rPr>
              <w:t>Demand Segment</w:t>
            </w:r>
          </w:p>
        </w:tc>
        <w:tc>
          <w:tcPr>
            <w:tcW w:type="dxa" w:w="2592"/>
            <w:shd w:fill="1A365D"/>
            <w:tcMar>
              <w:top w:w="100" w:type="dxa"/>
              <w:bottom w:w="100" w:type="dxa"/>
              <w:left w:w="100" w:type="dxa"/>
              <w:right w:w="100" w:type="dxa"/>
            </w:tcMar>
          </w:tcPr>
          <w:p>
            <w:pPr>
              <w:spacing w:after="0"/>
            </w:pPr>
            <w:r>
              <w:rPr>
                <w:b/>
                <w:color w:val="FFFFFF"/>
                <w:sz w:val="19"/>
              </w:rPr>
              <w:t>Profile Characteristics</w:t>
            </w:r>
          </w:p>
        </w:tc>
        <w:tc>
          <w:tcPr>
            <w:tcW w:type="dxa" w:w="2592"/>
            <w:shd w:fill="1A365D"/>
            <w:tcMar>
              <w:top w:w="100" w:type="dxa"/>
              <w:bottom w:w="100" w:type="dxa"/>
              <w:left w:w="100" w:type="dxa"/>
              <w:right w:w="100" w:type="dxa"/>
            </w:tcMar>
          </w:tcPr>
          <w:p>
            <w:pPr>
              <w:spacing w:after="0"/>
            </w:pPr>
            <w:r>
              <w:rPr>
                <w:b/>
                <w:color w:val="FFFFFF"/>
                <w:sz w:val="19"/>
              </w:rPr>
              <w:t>Core Inventory Strategy</w:t>
            </w:r>
          </w:p>
        </w:tc>
        <w:tc>
          <w:tcPr>
            <w:tcW w:type="dxa" w:w="2160"/>
            <w:shd w:fill="1A365D"/>
            <w:tcMar>
              <w:top w:w="100" w:type="dxa"/>
              <w:bottom w:w="100" w:type="dxa"/>
              <w:left w:w="100" w:type="dxa"/>
              <w:right w:w="100" w:type="dxa"/>
            </w:tcMar>
          </w:tcPr>
          <w:p>
            <w:pPr>
              <w:spacing w:after="0"/>
            </w:pPr>
            <w:r>
              <w:rPr>
                <w:b/>
                <w:color w:val="FFFFFF"/>
                <w:sz w:val="19"/>
              </w:rPr>
              <w:t>Safety Stock Rule</w:t>
            </w:r>
          </w:p>
        </w:tc>
      </w:tr>
      <w:tr>
        <w:tc>
          <w:tcPr>
            <w:tcW w:type="dxa" w:w="2016"/>
            <w:shd w:fill="FFFFFF"/>
            <w:tcMar>
              <w:top w:w="80" w:type="dxa"/>
              <w:bottom w:w="80" w:type="dxa"/>
              <w:left w:w="100" w:type="dxa"/>
              <w:right w:w="100" w:type="dxa"/>
            </w:tcMar>
          </w:tcPr>
          <w:p>
            <w:pPr>
              <w:spacing w:after="0"/>
            </w:pPr>
            <w:r>
              <w:rPr>
                <w:b/>
                <w:color w:val="2F855A"/>
                <w:sz w:val="18"/>
              </w:rPr>
              <w:t>High Volume, Stable</w:t>
            </w:r>
          </w:p>
        </w:tc>
        <w:tc>
          <w:tcPr>
            <w:tcW w:type="dxa" w:w="2592"/>
            <w:shd w:fill="FFFFFF"/>
            <w:tcMar>
              <w:top w:w="80" w:type="dxa"/>
              <w:bottom w:w="80" w:type="dxa"/>
              <w:left w:w="100" w:type="dxa"/>
              <w:right w:w="100" w:type="dxa"/>
            </w:tcMar>
          </w:tcPr>
          <w:p>
            <w:pPr>
              <w:spacing w:after="0"/>
            </w:pPr>
            <w:r>
              <w:rPr>
                <w:sz w:val="18"/>
              </w:rPr>
              <w:t>Massive revenue; remarkably low, flat weekly volatility.</w:t>
            </w:r>
          </w:p>
        </w:tc>
        <w:tc>
          <w:tcPr>
            <w:tcW w:type="dxa" w:w="2592"/>
            <w:shd w:fill="FFFFFF"/>
            <w:tcMar>
              <w:top w:w="80" w:type="dxa"/>
              <w:bottom w:w="80" w:type="dxa"/>
              <w:left w:w="100" w:type="dxa"/>
              <w:right w:w="100" w:type="dxa"/>
            </w:tcMar>
          </w:tcPr>
          <w:p>
            <w:pPr>
              <w:spacing w:after="0"/>
            </w:pPr>
            <w:r>
              <w:rPr>
                <w:sz w:val="18"/>
              </w:rPr>
              <w:t>Continuous Review: Automate lean replenishment based on fixed reorder triggers. Rely heavily on SARIMA.</w:t>
            </w:r>
          </w:p>
        </w:tc>
        <w:tc>
          <w:tcPr>
            <w:tcW w:type="dxa" w:w="2160"/>
            <w:shd w:fill="FFFFFF"/>
            <w:tcMar>
              <w:top w:w="80" w:type="dxa"/>
              <w:bottom w:w="80" w:type="dxa"/>
              <w:left w:w="100" w:type="dxa"/>
              <w:right w:w="100" w:type="dxa"/>
            </w:tcMar>
          </w:tcPr>
          <w:p>
            <w:pPr>
              <w:spacing w:after="0"/>
            </w:pPr>
            <w:r>
              <w:rPr>
                <w:sz w:val="18"/>
              </w:rPr>
              <w:t>Minimize safety buffers to free up working capital.</w:t>
            </w:r>
          </w:p>
        </w:tc>
      </w:tr>
      <w:tr>
        <w:tc>
          <w:tcPr>
            <w:tcW w:type="dxa" w:w="2016"/>
            <w:shd w:fill="F8FAFC"/>
            <w:tcMar>
              <w:top w:w="80" w:type="dxa"/>
              <w:bottom w:w="80" w:type="dxa"/>
              <w:left w:w="100" w:type="dxa"/>
              <w:right w:w="100" w:type="dxa"/>
            </w:tcMar>
          </w:tcPr>
          <w:p>
            <w:pPr>
              <w:spacing w:after="0"/>
            </w:pPr>
            <w:r>
              <w:rPr>
                <w:b/>
                <w:color w:val="B7791F"/>
                <w:sz w:val="18"/>
              </w:rPr>
              <w:t>Low Volume, Volatile</w:t>
            </w:r>
          </w:p>
        </w:tc>
        <w:tc>
          <w:tcPr>
            <w:tcW w:type="dxa" w:w="2592"/>
            <w:shd w:fill="F8FAFC"/>
            <w:tcMar>
              <w:top w:w="80" w:type="dxa"/>
              <w:bottom w:w="80" w:type="dxa"/>
              <w:left w:w="100" w:type="dxa"/>
              <w:right w:w="100" w:type="dxa"/>
            </w:tcMar>
          </w:tcPr>
          <w:p>
            <w:pPr>
              <w:spacing w:after="0"/>
            </w:pPr>
            <w:r>
              <w:rPr>
                <w:sz w:val="18"/>
              </w:rPr>
              <w:t>Erratic sales; lengthy flat periods with sudden massive spikes.</w:t>
            </w:r>
          </w:p>
        </w:tc>
        <w:tc>
          <w:tcPr>
            <w:tcW w:type="dxa" w:w="2592"/>
            <w:shd w:fill="F8FAFC"/>
            <w:tcMar>
              <w:top w:w="80" w:type="dxa"/>
              <w:bottom w:w="80" w:type="dxa"/>
              <w:left w:w="100" w:type="dxa"/>
              <w:right w:w="100" w:type="dxa"/>
            </w:tcMar>
          </w:tcPr>
          <w:p>
            <w:pPr>
              <w:spacing w:after="0"/>
            </w:pPr>
            <w:r>
              <w:rPr>
                <w:sz w:val="18"/>
              </w:rPr>
              <w:t>Periodic Review: Restrict on-hand quantities to control holding costs. Move toward Just-in-Time (JIT) rules.</w:t>
            </w:r>
          </w:p>
        </w:tc>
        <w:tc>
          <w:tcPr>
            <w:tcW w:type="dxa" w:w="2160"/>
            <w:shd w:fill="F8FAFC"/>
            <w:tcMar>
              <w:top w:w="80" w:type="dxa"/>
              <w:bottom w:w="80" w:type="dxa"/>
              <w:left w:w="100" w:type="dxa"/>
              <w:right w:w="100" w:type="dxa"/>
            </w:tcMar>
          </w:tcPr>
          <w:p>
            <w:pPr>
              <w:spacing w:after="0"/>
            </w:pPr>
            <w:r>
              <w:rPr>
                <w:sz w:val="18"/>
              </w:rPr>
              <w:t>Maintain high safety stock margins to absorb random spikes.</w:t>
            </w:r>
          </w:p>
        </w:tc>
      </w:tr>
      <w:tr>
        <w:tc>
          <w:tcPr>
            <w:tcW w:type="dxa" w:w="2016"/>
            <w:shd w:fill="FFFFFF"/>
            <w:tcMar>
              <w:top w:w="80" w:type="dxa"/>
              <w:bottom w:w="80" w:type="dxa"/>
              <w:left w:w="100" w:type="dxa"/>
              <w:right w:w="100" w:type="dxa"/>
            </w:tcMar>
          </w:tcPr>
          <w:p>
            <w:pPr>
              <w:spacing w:after="0"/>
            </w:pPr>
            <w:r>
              <w:rPr>
                <w:b/>
                <w:color w:val="2B6CB0"/>
                <w:sz w:val="18"/>
              </w:rPr>
              <w:t>Growing Demand</w:t>
            </w:r>
          </w:p>
        </w:tc>
        <w:tc>
          <w:tcPr>
            <w:tcW w:type="dxa" w:w="2592"/>
            <w:shd w:fill="FFFFFF"/>
            <w:tcMar>
              <w:top w:w="80" w:type="dxa"/>
              <w:bottom w:w="80" w:type="dxa"/>
              <w:left w:w="100" w:type="dxa"/>
              <w:right w:w="100" w:type="dxa"/>
            </w:tcMar>
          </w:tcPr>
          <w:p>
            <w:pPr>
              <w:spacing w:after="0"/>
            </w:pPr>
            <w:r>
              <w:rPr>
                <w:sz w:val="18"/>
              </w:rPr>
              <w:t>Rapid positive YoY trajectory; shifting baseline.</w:t>
            </w:r>
          </w:p>
        </w:tc>
        <w:tc>
          <w:tcPr>
            <w:tcW w:type="dxa" w:w="2592"/>
            <w:shd w:fill="FFFFFF"/>
            <w:tcMar>
              <w:top w:w="80" w:type="dxa"/>
              <w:bottom w:w="80" w:type="dxa"/>
              <w:left w:w="100" w:type="dxa"/>
              <w:right w:w="100" w:type="dxa"/>
            </w:tcMar>
          </w:tcPr>
          <w:p>
            <w:pPr>
              <w:spacing w:after="0"/>
            </w:pPr>
            <w:r>
              <w:rPr>
                <w:sz w:val="18"/>
              </w:rPr>
              <w:t>Forward Buying: Proactively build inventory capacity month-over-month. Rely on XGBoost trends.</w:t>
            </w:r>
          </w:p>
        </w:tc>
        <w:tc>
          <w:tcPr>
            <w:tcW w:type="dxa" w:w="2160"/>
            <w:shd w:fill="FFFFFF"/>
            <w:tcMar>
              <w:top w:w="80" w:type="dxa"/>
              <w:bottom w:w="80" w:type="dxa"/>
              <w:left w:w="100" w:type="dxa"/>
              <w:right w:w="100" w:type="dxa"/>
            </w:tcMar>
          </w:tcPr>
          <w:p>
            <w:pPr>
              <w:spacing w:after="0"/>
            </w:pPr>
            <w:r>
              <w:rPr>
                <w:sz w:val="18"/>
              </w:rPr>
              <w:t>Dynamic scaling; expand buffers in line with growth rates.</w:t>
            </w:r>
          </w:p>
        </w:tc>
      </w:tr>
      <w:tr>
        <w:tc>
          <w:tcPr>
            <w:tcW w:type="dxa" w:w="2016"/>
            <w:shd w:fill="F8FAFC"/>
            <w:tcMar>
              <w:top w:w="80" w:type="dxa"/>
              <w:bottom w:w="80" w:type="dxa"/>
              <w:left w:w="100" w:type="dxa"/>
              <w:right w:w="100" w:type="dxa"/>
            </w:tcMar>
          </w:tcPr>
          <w:p>
            <w:pPr>
              <w:spacing w:after="0"/>
            </w:pPr>
            <w:r>
              <w:rPr>
                <w:b/>
                <w:color w:val="9B2C2C"/>
                <w:sz w:val="18"/>
              </w:rPr>
              <w:t>Declining Demand</w:t>
            </w:r>
          </w:p>
        </w:tc>
        <w:tc>
          <w:tcPr>
            <w:tcW w:type="dxa" w:w="2592"/>
            <w:shd w:fill="F8FAFC"/>
            <w:tcMar>
              <w:top w:w="80" w:type="dxa"/>
              <w:bottom w:w="80" w:type="dxa"/>
              <w:left w:w="100" w:type="dxa"/>
              <w:right w:w="100" w:type="dxa"/>
            </w:tcMar>
          </w:tcPr>
          <w:p>
            <w:pPr>
              <w:spacing w:after="0"/>
            </w:pPr>
            <w:r>
              <w:rPr>
                <w:sz w:val="18"/>
              </w:rPr>
              <w:t>Consistent negative YoY growth; shrinking footprint.</w:t>
            </w:r>
          </w:p>
        </w:tc>
        <w:tc>
          <w:tcPr>
            <w:tcW w:type="dxa" w:w="2592"/>
            <w:shd w:fill="F8FAFC"/>
            <w:tcMar>
              <w:top w:w="80" w:type="dxa"/>
              <w:bottom w:w="80" w:type="dxa"/>
              <w:left w:w="100" w:type="dxa"/>
              <w:right w:w="100" w:type="dxa"/>
            </w:tcMar>
          </w:tcPr>
          <w:p>
            <w:pPr>
              <w:spacing w:after="0"/>
            </w:pPr>
            <w:r>
              <w:rPr>
                <w:sz w:val="18"/>
              </w:rPr>
              <w:t>Drawdown Protocol: Immediately halt automated replenishment. Manually cap lines.</w:t>
            </w:r>
          </w:p>
        </w:tc>
        <w:tc>
          <w:tcPr>
            <w:tcW w:type="dxa" w:w="2160"/>
            <w:shd w:fill="F8FAFC"/>
            <w:tcMar>
              <w:top w:w="80" w:type="dxa"/>
              <w:bottom w:w="80" w:type="dxa"/>
              <w:left w:w="100" w:type="dxa"/>
              <w:right w:w="100" w:type="dxa"/>
            </w:tcMar>
          </w:tcPr>
          <w:p>
            <w:pPr>
              <w:spacing w:after="0"/>
            </w:pPr>
            <w:r>
              <w:rPr>
                <w:sz w:val="18"/>
              </w:rPr>
              <w:t>Slash safety stock targets to zero; liquidate excess.</w:t>
            </w:r>
          </w:p>
        </w:tc>
      </w:tr>
    </w:tbl>
    <w:p>
      <w:pPr>
        <w:keepNext/>
        <w:spacing w:before="360" w:after="120"/>
      </w:pPr>
      <w:r>
        <w:rPr>
          <w:b/>
          <w:color w:val="1A365D"/>
          <w:sz w:val="26"/>
        </w:rPr>
        <w:t>Concrete Business Recommendations</w:t>
      </w:r>
    </w:p>
    <w:p>
      <w:pPr>
        <w:pStyle w:val="ListBullet"/>
        <w:spacing w:after="120"/>
      </w:pPr>
      <w:r>
        <w:rPr>
          <w:b/>
          <w:color w:val="2B6CB0"/>
        </w:rPr>
        <w:t xml:space="preserve">Capital Realignment via Segmentation: </w:t>
      </w:r>
      <w:r>
        <w:t>Transition the High Volume, Stable Demand lines to a strict continuous lean review model. Data shows these segments have highly predictable cycles, allowing us to safely reduce their safety buffers by 15-20%. This operational pivot will immediately unlock cash flow from stuck inventory, which can be reallocated to fund aggressive forward-buying for our Growing Demand products.</w:t>
      </w:r>
    </w:p>
    <w:p>
      <w:pPr>
        <w:pStyle w:val="ListBullet"/>
        <w:spacing w:after="120"/>
      </w:pPr>
      <w:r>
        <w:rPr>
          <w:b/>
          <w:color w:val="2B6CB0"/>
        </w:rPr>
        <w:t xml:space="preserve">Dynamic Promotional Logistics Safeguards: </w:t>
      </w:r>
      <w:r>
        <w:t>Supply chain logistics must scale up temporary capacity (freight, warehousing, and labor) by 20% at least 14 days prior to the middle of Month 2. Our forecasting data explicitly identifies a seasonal demand wave topping out at an aggressive upper bound of $100,300, driven by the American tax-free holiday and digital promotional cycles. Failing to scale capacity will result in fulfillment delays and missed revenue.</w:t>
      </w:r>
    </w:p>
    <w:p>
      <w:pPr>
        <w:pStyle w:val="ListBullet"/>
        <w:spacing w:after="120"/>
      </w:pPr>
      <w:r>
        <w:rPr>
          <w:b/>
          <w:color w:val="2B6CB0"/>
        </w:rPr>
        <w:t xml:space="preserve">Proactive B2B Contract Insulation: </w:t>
      </w:r>
      <w:r>
        <w:t>Supply Chain and Finance must establish an isolated 'B2B Buffer Reserve' for volatile, high-ticket categories. Our anomaly analysis proved that out-of-season spikes frequently hit $30,000 due to non-festive corporate contract wins. Creating a ring-fenced stock pool ensures we can immediately fulfill these unexpected, high-margin institutional orders without draining inventory dedicated to our regular retail baseline channels.</w:t>
      </w:r>
    </w:p>
    <w:p>
      <w:pPr>
        <w:keepNext/>
        <w:spacing w:before="360" w:after="120"/>
      </w:pPr>
      <w:r>
        <w:rPr>
          <w:b/>
          <w:color w:val="1A365D"/>
          <w:sz w:val="26"/>
        </w:rPr>
        <w:t>Critical System Limitation &amp; Risk Factors</w:t>
      </w:r>
    </w:p>
    <w:p>
      <w:pPr>
        <w:spacing w:after="120"/>
      </w:pPr>
      <w:r>
        <w:t>The Risk of Macroeconomic Blindness (Data Insularity): The primary vulnerability of this predictive system is that it operates purely on internal historical transaction history. While it beautifully charts internal patterns and regular American consumer calendars, it is completely blind to unexpected, structural external disruptions. If a major global supply chain failure, an unprecedented corporate vendor bankruptcy, or a severe macroeconomic shift occurs, the model will continue to project trends based on the past.</w:t>
      </w:r>
    </w:p>
    <w:p>
      <w:pPr>
        <w:spacing w:after="240"/>
      </w:pPr>
      <w:r>
        <w:rPr>
          <w:b/>
        </w:rPr>
        <w:t>Mitigation Action: Executive leadership should treat these mathematical outputs as an operational baseline. Supply chain management must overlay these figures with manual macroeconomic adjustments and real-time vendor risk intelligence to ensure full resilience.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