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Instruções de como usar as tabelas do HVLT e BVMT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HVLT-R</w:t>
      </w:r>
    </w:p>
    <w:p w:rsidR="00000000" w:rsidDel="00000000" w:rsidP="00000000" w:rsidRDefault="00000000" w:rsidRPr="00000000" w14:paraId="00000005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1 - Somar o total respondido corretamente nas 3 listas – Olhar na tabela da idade do paciente o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TOTAL RECALL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Ver o  TSCORE correspondente e anotar. Pegar a tabela colorida onde tem a conversão do TSCORE, Percentil e Classificação e veja o que significa.</w:t>
      </w:r>
    </w:p>
    <w:p w:rsidR="00000000" w:rsidDel="00000000" w:rsidP="00000000" w:rsidRDefault="00000000" w:rsidRPr="00000000" w14:paraId="00000008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2- Somar a evocação e olhar na parte referente a </w:t>
      </w:r>
      <w:r w:rsidDel="00000000" w:rsidR="00000000" w:rsidRPr="00000000">
        <w:rPr>
          <w:i w:val="1"/>
          <w:sz w:val="28"/>
          <w:szCs w:val="28"/>
          <w:vertAlign w:val="baseline"/>
          <w:rtl w:val="0"/>
        </w:rPr>
        <w:t xml:space="preserve">DELATED RECALL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 Veja o TSCORE e converta na tabela colorida.</w:t>
      </w:r>
    </w:p>
    <w:p w:rsidR="00000000" w:rsidDel="00000000" w:rsidP="00000000" w:rsidRDefault="00000000" w:rsidRPr="00000000" w14:paraId="0000000A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3- Somar os acertos do Reconhecimento, tirar o Falso Positivo (Explicação está na instrução em como aplicar o teste). Olhar Referente a FORMS 1. </w:t>
      </w:r>
    </w:p>
    <w:p w:rsidR="00000000" w:rsidDel="00000000" w:rsidP="00000000" w:rsidRDefault="00000000" w:rsidRPr="00000000" w14:paraId="0000000C">
      <w:pPr>
        <w:rPr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Existem várias listas desse teste, estamos usando a Forma 1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</w:rPr>
        <w:drawing>
          <wp:inline distB="0" distT="0" distL="114300" distR="114300">
            <wp:extent cx="213360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Não é necessário fazer conta. Somente olhar o TSCORE e converter.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