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b/>
          <w:bCs/>
          <w:color w:val="1F3864"/>
          <w:sz w:val="32"/>
          <w:szCs w:val="32"/>
        </w:rPr>
        <w:t xml:space="preserve">CAP Theoretical Warrant Mapping (39 Assignments)</w:t>
      </w:r>
    </w:p>
    <w:p>
      <w:pPr>
        <w:spacing w:after="200"/>
      </w:pPr>
      <w:r>
        <w:rPr>
          <w:rFonts w:ascii="Calibri" w:cs="Calibri" w:eastAsia="Calibri" w:hAnsi="Calibri"/>
          <w:i/>
          <w:iCs/>
          <w:color w:val="595959"/>
          <w:sz w:val="22"/>
          <w:szCs w:val="22"/>
        </w:rPr>
        <w:t xml:space="preserve">Updated April 2026 with safety-focused assignments — Dissertation Appendix</w:t>
      </w:r>
    </w:p>
    <w:p>
      <w:pPr>
        <w:pStyle w:val="Heading2"/>
      </w:pPr>
      <w:r>
        <w:rPr>
          <w:rFonts w:ascii="Calibri" w:cs="Calibri" w:eastAsia="Calibri" w:hAnsi="Calibri"/>
          <w:b/>
          <w:bCs/>
          <w:color w:val="1F3864"/>
          <w:sz w:val="26"/>
          <w:szCs w:val="26"/>
        </w:rPr>
        <w:t xml:space="preserve">Warrant Legend</w:t>
      </w:r>
    </w:p>
    <w:p>
      <w:pPr>
        <w:spacing w:after="120"/>
      </w:pPr>
      <w:r>
        <w:rPr>
          <w:rFonts w:ascii="Calibri" w:cs="Calibri" w:eastAsia="Calibri" w:hAnsi="Calibri"/>
          <w:sz w:val="22"/>
          <w:szCs w:val="22"/>
        </w:rPr>
        <w:t xml:space="preserve">SDT-A / SDT-C / SDT-R — Self-Determination Theory: Autonomy / Competence / Relatedness (Ryan &amp; Deci)</w:t>
      </w:r>
    </w:p>
    <w:p>
      <w:pPr>
        <w:spacing w:after="120"/>
      </w:pPr>
      <w:r>
        <w:rPr>
          <w:rFonts w:ascii="Calibri" w:cs="Calibri" w:eastAsia="Calibri" w:hAnsi="Calibri"/>
          <w:sz w:val="22"/>
          <w:szCs w:val="22"/>
        </w:rPr>
        <w:t xml:space="preserve">Kolb-CE / RO / AC / AE — Kolb's experiential cycle: Concrete Experience / Reflective Observation / Abstract Conceptualization / Active Experimentation. Kolb-Full = complete loop activated.</w:t>
      </w:r>
    </w:p>
    <w:p>
      <w:pPr>
        <w:spacing w:after="120"/>
      </w:pPr>
      <w:r>
        <w:rPr>
          <w:rFonts w:ascii="Calibri" w:cs="Calibri" w:eastAsia="Calibri" w:hAnsi="Calibri"/>
          <w:sz w:val="22"/>
          <w:szCs w:val="22"/>
        </w:rPr>
        <w:t xml:space="preserve">CVM — Civic Voluntarism Model (Verba, Schlozman &amp; Brady): resources, psychological engagement, recruitment networks</w:t>
      </w:r>
    </w:p>
    <w:p>
      <w:pPr>
        <w:spacing w:after="120"/>
      </w:pPr>
      <w:r>
        <w:rPr>
          <w:rFonts w:ascii="Calibri" w:cs="Calibri" w:eastAsia="Calibri" w:hAnsi="Calibri"/>
          <w:sz w:val="22"/>
          <w:szCs w:val="22"/>
        </w:rPr>
        <w:t xml:space="preserve">AC-civ — Action Civics (identify → research → act → reflect)</w:t>
      </w:r>
    </w:p>
    <w:p>
      <w:pPr>
        <w:spacing w:after="120"/>
      </w:pPr>
      <w:r>
        <w:rPr>
          <w:rFonts w:ascii="Calibri" w:cs="Calibri" w:eastAsia="Calibri" w:hAnsi="Calibri"/>
          <w:sz w:val="22"/>
          <w:szCs w:val="22"/>
        </w:rPr>
        <w:t xml:space="preserve">Barber — Strong Democracy: direct deliberative participation</w:t>
      </w:r>
    </w:p>
    <w:p>
      <w:pPr>
        <w:spacing w:after="120"/>
      </w:pPr>
      <w:r>
        <w:rPr>
          <w:rFonts w:ascii="Calibri" w:cs="Calibri" w:eastAsia="Calibri" w:hAnsi="Calibri"/>
          <w:sz w:val="22"/>
          <w:szCs w:val="22"/>
        </w:rPr>
        <w:t xml:space="preserve">SL — Service-Learning meta-analytic evidence base (reflection-paired direct experience)</w:t>
      </w:r>
    </w:p>
    <w:p>
      <w:pPr>
        <w:spacing w:after="120"/>
      </w:pPr>
      <w:r>
        <w:rPr>
          <w:rFonts w:ascii="Calibri" w:cs="Calibri" w:eastAsia="Calibri" w:hAnsi="Calibri"/>
          <w:sz w:val="22"/>
          <w:szCs w:val="22"/>
        </w:rPr>
        <w:t xml:space="preserve">Ballard — Ballard et al. 2016: safety-themed civic projects produced the strongest gains in civic commitment, self-efficacy, and knowledge</w:t>
      </w:r>
    </w:p>
    <w:p>
      <w:pPr>
        <w:spacing w:after="120"/>
      </w:pPr>
      <w:r>
        <w:rPr>
          <w:rFonts w:ascii="Calibri" w:cs="Calibri" w:eastAsia="Calibri" w:hAnsi="Calibri"/>
          <w:sz w:val="22"/>
          <w:szCs w:val="22"/>
        </w:rPr>
        <w:t xml:space="preserve">AIR — AI-Resistance design principle</w:t>
      </w:r>
    </w:p>
    <w:p>
      <w:pPr>
        <w:pStyle w:val="Heading2"/>
      </w:pPr>
      <w:r>
        <w:rPr>
          <w:rFonts w:ascii="Calibri" w:cs="Calibri" w:eastAsia="Calibri" w:hAnsi="Calibri"/>
          <w:b/>
          <w:bCs/>
          <w:color w:val="1F3864"/>
          <w:sz w:val="26"/>
          <w:szCs w:val="26"/>
        </w:rPr>
        <w:t xml:space="preserve">Mapping Table — Original 29 + 10 Safety-Focused</w:t>
      </w:r>
    </w:p>
    <w:p>
      <w:pPr>
        <w:spacing w:after="120"/>
        <w:rPr>
          <w:i/>
          <w:iCs/>
          <w:color w:val="595959"/>
        </w:rPr>
      </w:pPr>
      <w:r>
        <w:rPr>
          <w:rFonts w:ascii="Calibri" w:cs="Calibri" w:eastAsia="Calibri" w:hAnsi="Calibri"/>
          <w:i/>
          <w:iCs/>
          <w:color w:val="595959"/>
          <w:sz w:val="22"/>
          <w:szCs w:val="22"/>
        </w:rPr>
        <w:t xml:space="preserve">Rows 30–39 (highlighted in cream) are the safety-focused assignments added in April 2026 to address the Ballard et al. (2016)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650"/>
        <w:gridCol w:w="1850"/>
        <w:gridCol w:w="1850"/>
        <w:gridCol w:w="1750"/>
        <w:gridCol w:w="1460"/>
      </w:tblGrid>
      <w:tr>
        <w:tc>
          <w:tcPr>
            <w:tcW w:type="dxa" w:w="40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tcPr>
          <w:p>
            <w:r>
              <w:rPr>
                <w:rFonts w:ascii="Calibri" w:cs="Calibri" w:eastAsia="Calibri" w:hAnsi="Calibri"/>
                <w:b/>
                <w:bCs/>
                <w:color w:val="FFFFFF"/>
                <w:sz w:val="16"/>
                <w:szCs w:val="16"/>
              </w:rPr>
              <w:t xml:space="preserve">#</w:t>
            </w:r>
          </w:p>
        </w:tc>
        <w:tc>
          <w:tcPr>
            <w:tcW w:type="dxa" w:w="140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tcPr>
          <w:p>
            <w:r>
              <w:rPr>
                <w:rFonts w:ascii="Calibri" w:cs="Calibri" w:eastAsia="Calibri" w:hAnsi="Calibri"/>
                <w:b/>
                <w:bCs/>
                <w:color w:val="FFFFFF"/>
                <w:sz w:val="16"/>
                <w:szCs w:val="16"/>
              </w:rPr>
              <w:t xml:space="preserve">Assignment</w:t>
            </w:r>
          </w:p>
        </w:tc>
        <w:tc>
          <w:tcPr>
            <w:tcW w:type="dxa" w:w="65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tcPr>
          <w:p>
            <w:r>
              <w:rPr>
                <w:rFonts w:ascii="Calibri" w:cs="Calibri" w:eastAsia="Calibri" w:hAnsi="Calibri"/>
                <w:b/>
                <w:bCs/>
                <w:color w:val="FFFFFF"/>
                <w:sz w:val="16"/>
                <w:szCs w:val="16"/>
              </w:rPr>
              <w:t xml:space="preserve">Tier</w:t>
            </w:r>
          </w:p>
        </w:tc>
        <w:tc>
          <w:tcPr>
            <w:tcW w:type="dxa" w:w="185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tcPr>
          <w:p>
            <w:r>
              <w:rPr>
                <w:rFonts w:ascii="Calibri" w:cs="Calibri" w:eastAsia="Calibri" w:hAnsi="Calibri"/>
                <w:b/>
                <w:bCs/>
                <w:color w:val="FFFFFF"/>
                <w:sz w:val="16"/>
                <w:szCs w:val="16"/>
              </w:rPr>
              <w:t xml:space="preserve">Primary Warrant</w:t>
            </w:r>
          </w:p>
        </w:tc>
        <w:tc>
          <w:tcPr>
            <w:tcW w:type="dxa" w:w="185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tcPr>
          <w:p>
            <w:r>
              <w:rPr>
                <w:rFonts w:ascii="Calibri" w:cs="Calibri" w:eastAsia="Calibri" w:hAnsi="Calibri"/>
                <w:b/>
                <w:bCs/>
                <w:color w:val="FFFFFF"/>
                <w:sz w:val="16"/>
                <w:szCs w:val="16"/>
              </w:rPr>
              <w:t xml:space="preserve">Secondary Warrants</w:t>
            </w:r>
          </w:p>
        </w:tc>
        <w:tc>
          <w:tcPr>
            <w:tcW w:type="dxa" w:w="175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tcPr>
          <w:p>
            <w:r>
              <w:rPr>
                <w:rFonts w:ascii="Calibri" w:cs="Calibri" w:eastAsia="Calibri" w:hAnsi="Calibri"/>
                <w:b/>
                <w:bCs/>
                <w:color w:val="FFFFFF"/>
                <w:sz w:val="16"/>
                <w:szCs w:val="16"/>
              </w:rPr>
              <w:t xml:space="preserve">Empirical / Theoretical Support</w:t>
            </w:r>
          </w:p>
        </w:tc>
        <w:tc>
          <w:tcPr>
            <w:tcW w:type="dxa" w:w="146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tcPr>
          <w:p>
            <w:r>
              <w:rPr>
                <w:rFonts w:ascii="Calibri" w:cs="Calibri" w:eastAsia="Calibri" w:hAnsi="Calibri"/>
                <w:b/>
                <w:bCs/>
                <w:color w:val="FFFFFF"/>
                <w:sz w:val="16"/>
                <w:szCs w:val="16"/>
              </w:rPr>
              <w:t xml:space="preserve">AI-Resistance Mechanism</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1</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Government Meeting Attendance</w:t>
            </w:r>
          </w:p>
        </w:tc>
        <w:tc>
          <w:tcPr>
            <w:tcW w:type="dxa" w:w="6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Higher</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Kolb-Full (CE in real chamber → RO via 500-word reflection → AC via course-concept connection)</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Barber (witnessing deliberative bodies); CVM (institutional knowledge)</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SL meta-analyses on reflection-paired direct experience</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Proof of attendance; 3 specific issues from a dated meeting</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2</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Civic Interview #1</w:t>
            </w:r>
          </w:p>
        </w:tc>
        <w:tc>
          <w:tcPr>
            <w:tcW w:type="dxa" w:w="6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Higher</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SDT-R (sustained one-to-one with a real community member)</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Kolb-CE; CVM (recruitment networks); AC-civ (research)</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Putnam on social capital; CVM</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Named/role-identified interviewee; recording or transcript</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3</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Civic Interview #2</w:t>
            </w:r>
          </w:p>
        </w:tc>
        <w:tc>
          <w:tcPr>
            <w:tcW w:type="dxa" w:w="6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Higher</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Kolb-AC (comparative abstraction across two perspectives)</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SDT-R; CVM</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Kolb on cyclical learning deepening</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Different person required; comparative analysis</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4</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Public Services Directory</w:t>
            </w:r>
          </w:p>
        </w:tc>
        <w:tc>
          <w:tcPr>
            <w:tcW w:type="dxa" w:w="6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Higher</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SDT-C (mastery via building a usable real-world artifact)</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AC-civ (research phase); CVM (resource literacy); SL (artifact serves others)</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Ryan &amp; Deci on competence as motivator; SL evidence on tangible products</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Verified contact info; multi-level government specificity</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5</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Myth Busting Video</w:t>
            </w:r>
          </w:p>
        </w:tc>
        <w:tc>
          <w:tcPr>
            <w:tcW w:type="dxa" w:w="6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Higher</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Kolb-AC (media literacy → abstract evaluation of claims)</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SDT-C (communication mastery); CVM (political knowledge)</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Kahne &amp; Middaugh on media-literate citizenship</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3 cited credible sources; original production</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6</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Public Comment Champion</w:t>
            </w:r>
          </w:p>
        </w:tc>
        <w:tc>
          <w:tcPr>
            <w:tcW w:type="dxa" w:w="6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Higher</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Barber (the archetypal strong-democracy assignment — direct deliberative voice)</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AC-civ (full identify-research-act-reflect cycle); SDT-A (issue choice); Kolb-Full</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Barber's Strong Democracy; Gastil on deliberative participation</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Documented delivery at 2 meetings; recorded official responses</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7</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Civic Organization Immersion</w:t>
            </w:r>
          </w:p>
        </w:tc>
        <w:tc>
          <w:tcPr>
            <w:tcW w:type="dxa" w:w="6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Higher</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CVM (the model's central claim — recruitment networks predict participation)</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SDT-R (sustained group membership); SL (10+ verified hours); Kolb-Full</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Verba/Schlozman/Brady; SL meta-analyses on duration thresholds</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10+ verified hours; leadership interview; supervisor verification</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8</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Naturalization Ceremony Witness</w:t>
            </w:r>
          </w:p>
        </w:tc>
        <w:tc>
          <w:tcPr>
            <w:tcW w:type="dxa" w:w="6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Higher</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Kolb-CE (high-affect concrete experience) + SDT-R (interviews with new citizens)</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Barber (democratic ritual); AC-civ (reflect)</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SL on perspective-taking; identity-relevant civic experiences</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Specific ceremony date; 2–3 named interviews</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9</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Ride-Along Documentary</w:t>
            </w:r>
          </w:p>
        </w:tc>
        <w:tc>
          <w:tcPr>
            <w:tcW w:type="dxa" w:w="6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Higher</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Kolb-CE (street-level immersion; explicitly invokes Lipsky's street-level bureaucracy)</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CVM (institutional knowledge); SDT-C (policy-vs-practice analysis)</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Lipsky; SL on immersive shadowing</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Photo essay; named employee; observed challenges</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10</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Voter Registration Drive</w:t>
            </w:r>
          </w:p>
        </w:tc>
        <w:tc>
          <w:tcPr>
            <w:tcW w:type="dxa" w:w="6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Higher</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CVM (mobilization is the model's signature intervention)</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AC-civ (act phase); SL; SDT-C; Ballard-adjacent (action category matters)</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Green &amp; Gerber GOTV experiments; CVM</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Real registrations; documented barriers; nonpartisan training</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11</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Government Services Scavenger Hunt</w:t>
            </w:r>
          </w:p>
        </w:tc>
        <w:tc>
          <w:tcPr>
            <w:tcW w:type="dxa" w:w="6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Medium</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Kolb-CE (noticing the previously invisible)</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SDT-C (federalism literacy); CVM (resource awareness)</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Kolb on perception-shifting concrete experience</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5 dated photos over 2 weeks; level-of-government identification</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12</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Interview Clip #1</w:t>
            </w:r>
          </w:p>
        </w:tc>
        <w:tc>
          <w:tcPr>
            <w:tcW w:type="dxa" w:w="6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Medium</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SDT-R (lower-stakes real conversation)</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Kolb-CE; CVM (light recruitment)</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Putnam; CVM</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Video evidence of real person</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13</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Interview Clip #2</w:t>
            </w:r>
          </w:p>
        </w:tc>
        <w:tc>
          <w:tcPr>
            <w:tcW w:type="dxa" w:w="6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Medium</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Kolb-AC (comparing perspectives)</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SDT-R</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Kolb</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Different person; comparative analysis</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14</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Interview Clip #3</w:t>
            </w:r>
          </w:p>
        </w:tc>
        <w:tc>
          <w:tcPr>
            <w:tcW w:type="dxa" w:w="6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Medium</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Kolb-AC (synthesis across three voices)</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SDT-R; CVM</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Kolb on iterative cycles</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Three distinct people; pattern identification</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15</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News Connection Journal #1</w:t>
            </w:r>
          </w:p>
        </w:tc>
        <w:tc>
          <w:tcPr>
            <w:tcW w:type="dxa" w:w="6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Medium</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Kolb-AC (linking course concepts to current cases)</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CVM (informed-citizen knowledge); SDT-A (article choice)</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Kahne &amp; Middaugh on news engagement; CVM</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30-day recency; local-impact photo; personal section</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16</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News Connection Journal #2</w:t>
            </w:r>
          </w:p>
        </w:tc>
        <w:tc>
          <w:tcPr>
            <w:tcW w:type="dxa" w:w="6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Medium</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Kolb-AC</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CVM; SDT-A</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Same as #15</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Different article; local connection</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17</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News Connection Journal #3</w:t>
            </w:r>
          </w:p>
        </w:tc>
        <w:tc>
          <w:tcPr>
            <w:tcW w:type="dxa" w:w="6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Medium</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Kolb-RO (repetition deepens the reflective stage)</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Kolb-AC; CVM; SDT-A</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Kolb on cycle iteration</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Different article; pattern reflection across all three</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18</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Regulation Detective</w:t>
            </w:r>
          </w:p>
        </w:tc>
        <w:tc>
          <w:tcPr>
            <w:tcW w:type="dxa" w:w="6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Medium</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Kolb-CE (real business immersion) + AC-civ (research)</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SDT-C (multi-level system literacy); tradeoff analysis</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Kolb; institutional analysis literature</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Photographed permits; named owner interview; flowchart</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19</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Democracy in Action Video Series</w:t>
            </w:r>
          </w:p>
        </w:tc>
        <w:tc>
          <w:tcPr>
            <w:tcW w:type="dxa" w:w="6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Medium</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AC-civ (act phase via peer civic education)</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CVM (mobilization); SDT-C; SL (public good)</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Generation Citizen action-civics framework; CVM</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Local registration deadlines; county-specific info</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20</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Government Failure Investigation</w:t>
            </w:r>
          </w:p>
        </w:tc>
        <w:tc>
          <w:tcPr>
            <w:tcW w:type="dxa" w:w="6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Medium</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AC-civ (research-and-accountability cycle)</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SDT-C (FOIA literacy); Barber (citizen oversight); CVM</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Action civics literature; democratic accountability scholarship</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Filed FOIA; 2+ citizen interviews; named project</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21</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Personal Impact Reflection #1</w:t>
            </w:r>
          </w:p>
        </w:tc>
        <w:tc>
          <w:tcPr>
            <w:tcW w:type="dxa" w:w="6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Quick</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Kolb-RO (this is pure structured reflective observation)</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SDT-A (topic choice); SL (reflection evidence)</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Kolb; SL on reflection as the active ingredient</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Original photo; specific weekly topic</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22</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Personal Impact Reflection #2</w:t>
            </w:r>
          </w:p>
        </w:tc>
        <w:tc>
          <w:tcPr>
            <w:tcW w:type="dxa" w:w="6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Quick</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Kolb-RO</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SDT-A; SL</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Same</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Different topic; growth from prior</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23</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Personal Impact Reflection #3</w:t>
            </w:r>
          </w:p>
        </w:tc>
        <w:tc>
          <w:tcPr>
            <w:tcW w:type="dxa" w:w="6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Quick</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Kolb-RO → Kolb-AC (progression)</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SDT-A; SL</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Kolb on cycle deepening</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Unique topic; multiple concepts</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24</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Personal Impact Reflection #4</w:t>
            </w:r>
          </w:p>
        </w:tc>
        <w:tc>
          <w:tcPr>
            <w:tcW w:type="dxa" w:w="6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Quick</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Kolb-AC (advanced abstraction)</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SDT-A; SL</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Kolb</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Nuanced analysis</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25</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Personal Impact Reflection #5</w:t>
            </w:r>
          </w:p>
        </w:tc>
        <w:tc>
          <w:tcPr>
            <w:tcW w:type="dxa" w:w="6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Quick</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Kolb-Full (culminating; synthesizes the semester)</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SDT-A; SL</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Kolb on full-cycle mastery</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Semester synthesis</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26</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60-Second Gov Impact Video #1</w:t>
            </w:r>
          </w:p>
        </w:tc>
        <w:tc>
          <w:tcPr>
            <w:tcW w:type="dxa" w:w="6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Quick</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SDT-C (concise public communication = competence)</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Kolb-CE (impact "from your week"); AC-civ (light act)</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Ryan &amp; Deci; communication-as-competence research</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Original video; weekly specificity</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27</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60-Second Gov Impact Video #2</w:t>
            </w:r>
          </w:p>
        </w:tc>
        <w:tc>
          <w:tcPr>
            <w:tcW w:type="dxa" w:w="6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Quick</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SDT-C</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Kolb-CE; AC-civ</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Same</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Different topic; improved delivery</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28</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60-Second Gov Impact Video #3</w:t>
            </w:r>
          </w:p>
        </w:tc>
        <w:tc>
          <w:tcPr>
            <w:tcW w:type="dxa" w:w="6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Quick</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SDT-C</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Kolb-CE; AC-civ</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Same</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Unique content; multiple connections</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29</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60-Second Gov Impact Video #4</w:t>
            </w:r>
          </w:p>
        </w:tc>
        <w:tc>
          <w:tcPr>
            <w:tcW w:type="dxa" w:w="6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Quick</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SDT-C + Kolb-AC (mastery + synthesis)</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AC-civ</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Kolb; SDT</w:t>
            </w:r>
          </w:p>
        </w:tc>
        <w:tc>
          <w:tcPr>
            <w:tcW w:type="dxa" w:w="1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color w:val="000000"/>
                <w:sz w:val="15"/>
                <w:szCs w:val="15"/>
              </w:rPr>
              <w:t xml:space="preserve">Original approach; mastery</w:t>
            </w:r>
          </w:p>
        </w:tc>
      </w:tr>
      <w:tr>
        <w:tc>
          <w:tcPr>
            <w:tcW w:type="dxa" w:w="40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30</w:t>
            </w:r>
          </w:p>
        </w:tc>
        <w:tc>
          <w:tcPr>
            <w:tcW w:type="dxa" w:w="140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Campus Emergency Preparedness Audit</w:t>
            </w:r>
          </w:p>
        </w:tc>
        <w:tc>
          <w:tcPr>
            <w:tcW w:type="dxa" w:w="6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Quick</w:t>
            </w:r>
          </w:p>
        </w:tc>
        <w:tc>
          <w:tcPr>
            <w:tcW w:type="dxa" w:w="18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Ballard (safety as primary action category)</w:t>
            </w:r>
          </w:p>
        </w:tc>
        <w:tc>
          <w:tcPr>
            <w:tcW w:type="dxa" w:w="18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Kolb-CE (locating physical resources); SDT-C (institutional literacy)</w:t>
            </w:r>
          </w:p>
        </w:tc>
        <w:tc>
          <w:tcPr>
            <w:tcW w:type="dxa" w:w="17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Ballard et al. 2016; Maslow (fundamental needs)</w:t>
            </w:r>
          </w:p>
        </w:tc>
        <w:tc>
          <w:tcPr>
            <w:tcW w:type="dxa" w:w="146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TCC Alert screenshot; original campus photos with location captions</w:t>
            </w:r>
          </w:p>
        </w:tc>
      </w:tr>
      <w:tr>
        <w:tc>
          <w:tcPr>
            <w:tcW w:type="dxa" w:w="40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31</w:t>
            </w:r>
          </w:p>
        </w:tc>
        <w:tc>
          <w:tcPr>
            <w:tcW w:type="dxa" w:w="140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Know Your Rights: Police Encounter</w:t>
            </w:r>
          </w:p>
        </w:tc>
        <w:tc>
          <w:tcPr>
            <w:tcW w:type="dxa" w:w="6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Quick</w:t>
            </w:r>
          </w:p>
        </w:tc>
        <w:tc>
          <w:tcPr>
            <w:tcW w:type="dxa" w:w="18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Ballard (personal-safety civic action)</w:t>
            </w:r>
          </w:p>
        </w:tc>
        <w:tc>
          <w:tcPr>
            <w:tcW w:type="dxa" w:w="18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SDT-C (constitutional literacy as competence); SDT-A (self-protection)</w:t>
            </w:r>
          </w:p>
        </w:tc>
        <w:tc>
          <w:tcPr>
            <w:tcW w:type="dxa" w:w="17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Ballard et al. 2016; ACLU civic literacy research</w:t>
            </w:r>
          </w:p>
        </w:tc>
        <w:tc>
          <w:tcPr>
            <w:tcW w:type="dxa" w:w="146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Personal wallet card; cited credible sources; reflection on personal safety</w:t>
            </w:r>
          </w:p>
        </w:tc>
      </w:tr>
      <w:tr>
        <w:tc>
          <w:tcPr>
            <w:tcW w:type="dxa" w:w="40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32</w:t>
            </w:r>
          </w:p>
        </w:tc>
        <w:tc>
          <w:tcPr>
            <w:tcW w:type="dxa" w:w="140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Tenant Safety Rights</w:t>
            </w:r>
          </w:p>
        </w:tc>
        <w:tc>
          <w:tcPr>
            <w:tcW w:type="dxa" w:w="6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Medium</w:t>
            </w:r>
          </w:p>
        </w:tc>
        <w:tc>
          <w:tcPr>
            <w:tcW w:type="dxa" w:w="18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Ballard (housing safety)</w:t>
            </w:r>
          </w:p>
        </w:tc>
        <w:tc>
          <w:tcPr>
            <w:tcW w:type="dxa" w:w="18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SDT-C (legal literacy); CVM (institutional knowledge of complaint agencies)</w:t>
            </w:r>
          </w:p>
        </w:tc>
        <w:tc>
          <w:tcPr>
            <w:tcW w:type="dxa" w:w="17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Ballard et al. 2016; housing-policy research</w:t>
            </w:r>
          </w:p>
        </w:tc>
        <w:tc>
          <w:tcPr>
            <w:tcW w:type="dxa" w:w="146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Texas Property Code citations; specific local agency info</w:t>
            </w:r>
          </w:p>
        </w:tc>
      </w:tr>
      <w:tr>
        <w:tc>
          <w:tcPr>
            <w:tcW w:type="dxa" w:w="40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33</w:t>
            </w:r>
          </w:p>
        </w:tc>
        <w:tc>
          <w:tcPr>
            <w:tcW w:type="dxa" w:w="140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Workplace Safety Deep Dive</w:t>
            </w:r>
          </w:p>
        </w:tc>
        <w:tc>
          <w:tcPr>
            <w:tcW w:type="dxa" w:w="6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Medium</w:t>
            </w:r>
          </w:p>
        </w:tc>
        <w:tc>
          <w:tcPr>
            <w:tcW w:type="dxa" w:w="18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Ballard (occupational safety)</w:t>
            </w:r>
          </w:p>
        </w:tc>
        <w:tc>
          <w:tcPr>
            <w:tcW w:type="dxa" w:w="18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CVM (institutional knowledge); SDT-C (regulatory literacy); AC-civ (light research)</w:t>
            </w:r>
          </w:p>
        </w:tc>
        <w:tc>
          <w:tcPr>
            <w:tcW w:type="dxa" w:w="17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Ballard et al. 2016; OSHA effectiveness literature</w:t>
            </w:r>
          </w:p>
        </w:tc>
        <w:tc>
          <w:tcPr>
            <w:tcW w:type="dxa" w:w="146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Occupation-specific findings; named worker interview</w:t>
            </w:r>
          </w:p>
        </w:tc>
      </w:tr>
      <w:tr>
        <w:tc>
          <w:tcPr>
            <w:tcW w:type="dxa" w:w="40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34</w:t>
            </w:r>
          </w:p>
        </w:tc>
        <w:tc>
          <w:tcPr>
            <w:tcW w:type="dxa" w:w="140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Community Traffic Safety Analysis</w:t>
            </w:r>
          </w:p>
        </w:tc>
        <w:tc>
          <w:tcPr>
            <w:tcW w:type="dxa" w:w="6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Medium</w:t>
            </w:r>
          </w:p>
        </w:tc>
        <w:tc>
          <w:tcPr>
            <w:tcW w:type="dxa" w:w="18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Ballard (physical safety in commute) + AC-civ (full identify-research-act cycle)</w:t>
            </w:r>
          </w:p>
        </w:tc>
        <w:tc>
          <w:tcPr>
            <w:tcW w:type="dxa" w:w="18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Barber (citizen petition); SDT-A (issue choice)</w:t>
            </w:r>
          </w:p>
        </w:tc>
        <w:tc>
          <w:tcPr>
            <w:tcW w:type="dxa" w:w="17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Ballard et al. 2016; action civics literature</w:t>
            </w:r>
          </w:p>
        </w:tc>
        <w:tc>
          <w:tcPr>
            <w:tcW w:type="dxa" w:w="146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Personal location photos; ready-to-send formal letter</w:t>
            </w:r>
          </w:p>
        </w:tc>
      </w:tr>
      <w:tr>
        <w:tc>
          <w:tcPr>
            <w:tcW w:type="dxa" w:w="40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35</w:t>
            </w:r>
          </w:p>
        </w:tc>
        <w:tc>
          <w:tcPr>
            <w:tcW w:type="dxa" w:w="140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Financial Predator Mapping</w:t>
            </w:r>
          </w:p>
        </w:tc>
        <w:tc>
          <w:tcPr>
            <w:tcW w:type="dxa" w:w="6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Medium</w:t>
            </w:r>
          </w:p>
        </w:tc>
        <w:tc>
          <w:tcPr>
            <w:tcW w:type="dxa" w:w="18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Ballard (financial safety as community college concern)</w:t>
            </w:r>
          </w:p>
        </w:tc>
        <w:tc>
          <w:tcPr>
            <w:tcW w:type="dxa" w:w="18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SDT-C (consumer literacy); AC-civ (research phase); comparative state analysis</w:t>
            </w:r>
          </w:p>
        </w:tc>
        <w:tc>
          <w:tcPr>
            <w:tcW w:type="dxa" w:w="17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Ballard et al. 2016; consumer protection scholarship</w:t>
            </w:r>
          </w:p>
        </w:tc>
        <w:tc>
          <w:tcPr>
            <w:tcW w:type="dxa" w:w="146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Original 2-mile map; multi-state comparison required</w:t>
            </w:r>
          </w:p>
        </w:tc>
      </w:tr>
      <w:tr>
        <w:tc>
          <w:tcPr>
            <w:tcW w:type="dxa" w:w="40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36</w:t>
            </w:r>
          </w:p>
        </w:tc>
        <w:tc>
          <w:tcPr>
            <w:tcW w:type="dxa" w:w="140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Food Security Resource Navigation</w:t>
            </w:r>
          </w:p>
        </w:tc>
        <w:tc>
          <w:tcPr>
            <w:tcW w:type="dxa" w:w="6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Higher</w:t>
            </w:r>
          </w:p>
        </w:tc>
        <w:tc>
          <w:tcPr>
            <w:tcW w:type="dxa" w:w="18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Ballard (basic-needs safety)</w:t>
            </w:r>
          </w:p>
        </w:tc>
        <w:tc>
          <w:tcPr>
            <w:tcW w:type="dxa" w:w="18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Kolb-CE (in-person visit); SDT-R (visit interaction); SL</w:t>
            </w:r>
          </w:p>
        </w:tc>
        <w:tc>
          <w:tcPr>
            <w:tcW w:type="dxa" w:w="17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Ballard et al. 2016; CC food insecurity research (Goldrick-Rab)</w:t>
            </w:r>
          </w:p>
        </w:tc>
        <w:tc>
          <w:tcPr>
            <w:tcW w:type="dxa" w:w="146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In-person visit documentation; 5+ specific local resources</w:t>
            </w:r>
          </w:p>
        </w:tc>
      </w:tr>
      <w:tr>
        <w:tc>
          <w:tcPr>
            <w:tcW w:type="dxa" w:w="40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37</w:t>
            </w:r>
          </w:p>
        </w:tc>
        <w:tc>
          <w:tcPr>
            <w:tcW w:type="dxa" w:w="140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Crisis Resource Training</w:t>
            </w:r>
          </w:p>
        </w:tc>
        <w:tc>
          <w:tcPr>
            <w:tcW w:type="dxa" w:w="6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Higher</w:t>
            </w:r>
          </w:p>
        </w:tc>
        <w:tc>
          <w:tcPr>
            <w:tcW w:type="dxa" w:w="18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Ballard (safety as the strongest civic outcome category)</w:t>
            </w:r>
          </w:p>
        </w:tc>
        <w:tc>
          <w:tcPr>
            <w:tcW w:type="dxa" w:w="18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SDT-R (training is interpersonal); SL (formal training as service prep); CVM (recruitment to civic networks)</w:t>
            </w:r>
          </w:p>
        </w:tc>
        <w:tc>
          <w:tcPr>
            <w:tcW w:type="dxa" w:w="17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Ballard et al. 2016 (effect sizes: civic commitment +0.764, self-efficacy +0.563)</w:t>
            </w:r>
          </w:p>
        </w:tc>
        <w:tc>
          <w:tcPr>
            <w:tcW w:type="dxa" w:w="146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Verified training certificate; named org; cannot fake completion</w:t>
            </w:r>
          </w:p>
        </w:tc>
      </w:tr>
      <w:tr>
        <w:tc>
          <w:tcPr>
            <w:tcW w:type="dxa" w:w="40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38</w:t>
            </w:r>
          </w:p>
        </w:tc>
        <w:tc>
          <w:tcPr>
            <w:tcW w:type="dxa" w:w="140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Emergency Management Agency Visit</w:t>
            </w:r>
          </w:p>
        </w:tc>
        <w:tc>
          <w:tcPr>
            <w:tcW w:type="dxa" w:w="6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Higher</w:t>
            </w:r>
          </w:p>
        </w:tc>
        <w:tc>
          <w:tcPr>
            <w:tcW w:type="dxa" w:w="18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Ballard (safety) + Kolb-CE (direct agency immersion)</w:t>
            </w:r>
          </w:p>
        </w:tc>
        <w:tc>
          <w:tcPr>
            <w:tcW w:type="dxa" w:w="18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SDT-R (interview); CVM (intergovernmental coordination knowledge)</w:t>
            </w:r>
          </w:p>
        </w:tc>
        <w:tc>
          <w:tcPr>
            <w:tcW w:type="dxa" w:w="17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Ballard et al. 2016; emergency management literature</w:t>
            </w:r>
          </w:p>
        </w:tc>
        <w:tc>
          <w:tcPr>
            <w:tcW w:type="dxa" w:w="146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Named representative; documented visit; 5 substantive questions</w:t>
            </w:r>
          </w:p>
        </w:tc>
      </w:tr>
      <w:tr>
        <w:tc>
          <w:tcPr>
            <w:tcW w:type="dxa" w:w="40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39</w:t>
            </w:r>
          </w:p>
        </w:tc>
        <w:tc>
          <w:tcPr>
            <w:tcW w:type="dxa" w:w="140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Campus Safety Policy Brief</w:t>
            </w:r>
          </w:p>
        </w:tc>
        <w:tc>
          <w:tcPr>
            <w:tcW w:type="dxa" w:w="6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Higher</w:t>
            </w:r>
          </w:p>
        </w:tc>
        <w:tc>
          <w:tcPr>
            <w:tcW w:type="dxa" w:w="18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Ballard (safety) + AC-civ (full cycle: identify → research → act → policy advocacy)</w:t>
            </w:r>
          </w:p>
        </w:tc>
        <w:tc>
          <w:tcPr>
            <w:tcW w:type="dxa" w:w="18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Barber (policy advocacy as deliberative voice); SDT-C (policy writing competence); CVM</w:t>
            </w:r>
          </w:p>
        </w:tc>
        <w:tc>
          <w:tcPr>
            <w:tcW w:type="dxa" w:w="175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Ballard et al. 2016; Clery Act scholarship; student-advocacy research</w:t>
            </w:r>
          </w:p>
        </w:tc>
        <w:tc>
          <w:tcPr>
            <w:tcW w:type="dxa" w:w="1460"/>
            <w:tcBorders>
              <w:top w:val="single" w:color="999999" w:sz="4"/>
              <w:left w:val="single" w:color="999999" w:sz="4"/>
              <w:bottom w:val="single" w:color="999999" w:sz="4"/>
              <w:right w:val="single" w:color="999999" w:sz="4"/>
            </w:tcBorders>
            <w:shd w:fill="FFF4E6" w:val="clear"/>
            <w:tcMar>
              <w:top w:type="dxa" w:w="80"/>
              <w:left w:type="dxa" w:w="100"/>
              <w:bottom w:type="dxa" w:w="80"/>
              <w:right w:type="dxa" w:w="100"/>
            </w:tcMar>
          </w:tcPr>
          <w:p>
            <w:r>
              <w:rPr>
                <w:rFonts w:ascii="Calibri" w:cs="Calibri" w:eastAsia="Calibri" w:hAnsi="Calibri"/>
                <w:b w:val="false"/>
                <w:bCs w:val="false"/>
                <w:color w:val="000000"/>
                <w:sz w:val="15"/>
                <w:szCs w:val="15"/>
              </w:rPr>
              <w:t xml:space="preserve">Clery Act data analysis; peer institution comparison; 3 evidence-based recommendations</w:t>
            </w:r>
          </w:p>
        </w:tc>
      </w:tr>
    </w:tbl>
    <w:p>
      <w:pPr>
        <w:pStyle w:val="Heading1"/>
        <w:pageBreakBefore/>
      </w:pPr>
      <w:r>
        <w:rPr>
          <w:rFonts w:ascii="Calibri" w:cs="Calibri" w:eastAsia="Calibri" w:hAnsi="Calibri"/>
          <w:b/>
          <w:bCs/>
          <w:color w:val="1F3864"/>
          <w:sz w:val="32"/>
          <w:szCs w:val="32"/>
        </w:rPr>
        <w:t xml:space="preserve">Distribution Analysis (39 Assignments)</w:t>
      </w:r>
    </w:p>
    <w:p>
      <w:pPr>
        <w:spacing w:after="200"/>
      </w:pPr>
      <w:r>
        <w:rPr>
          <w:rFonts w:ascii="Calibri" w:cs="Calibri" w:eastAsia="Calibri" w:hAnsi="Calibri"/>
          <w:i/>
          <w:iCs/>
          <w:color w:val="595959"/>
          <w:sz w:val="22"/>
          <w:szCs w:val="22"/>
        </w:rPr>
        <w:t xml:space="preserve">How CAP's theoretical architecture has shifted with the safety-focused additions</w:t>
      </w:r>
    </w:p>
    <w:p>
      <w:pPr>
        <w:pStyle w:val="Heading2"/>
      </w:pPr>
      <w:r>
        <w:rPr>
          <w:rFonts w:ascii="Calibri" w:cs="Calibri" w:eastAsia="Calibri" w:hAnsi="Calibri"/>
          <w:b/>
          <w:bCs/>
          <w:color w:val="1F3864"/>
          <w:sz w:val="26"/>
          <w:szCs w:val="26"/>
        </w:rPr>
        <w:t xml:space="preserve">Primary Warrant Counts (Updated)</w:t>
      </w:r>
    </w:p>
    <w:p>
      <w:pPr>
        <w:spacing w:after="120"/>
      </w:pPr>
      <w:r>
        <w:rPr>
          <w:rFonts w:ascii="Calibri" w:cs="Calibri" w:eastAsia="Calibri" w:hAnsi="Calibri"/>
          <w:sz w:val="22"/>
          <w:szCs w:val="22"/>
        </w:rPr>
        <w:t xml:space="preserve">Kolb (any stage) — ~16 of 39: assignments 1, 3, 5, 8, 9, 11, 13, 14, 15, 16, 17, 18, 21–25, 29 (and as hybrid with Ballard in #38)</w:t>
      </w:r>
    </w:p>
    <w:p>
      <w:pPr>
        <w:spacing w:after="120"/>
      </w:pPr>
      <w:r>
        <w:rPr>
          <w:rFonts w:ascii="Calibri" w:cs="Calibri" w:eastAsia="Calibri" w:hAnsi="Calibri"/>
          <w:sz w:val="22"/>
          <w:szCs w:val="22"/>
        </w:rPr>
        <w:t xml:space="preserve">SDT (any subcomponent) — ~8: assignments 2, 4, 12, 26, 27, 28, 29 (still pervasive as secondary)</w:t>
      </w:r>
    </w:p>
    <w:p>
      <w:pPr>
        <w:spacing w:after="120"/>
      </w:pPr>
      <w:r>
        <w:rPr>
          <w:rFonts w:ascii="Calibri" w:cs="Calibri" w:eastAsia="Calibri" w:hAnsi="Calibri"/>
          <w:sz w:val="22"/>
          <w:szCs w:val="22"/>
        </w:rPr>
        <w:t xml:space="preserve">CVM — 2 primary (assignments 7, 10), still pervasive as secondary across many entries</w:t>
      </w:r>
    </w:p>
    <w:p>
      <w:pPr>
        <w:spacing w:after="120"/>
      </w:pPr>
      <w:r>
        <w:rPr>
          <w:rFonts w:ascii="Calibri" w:cs="Calibri" w:eastAsia="Calibri" w:hAnsi="Calibri"/>
          <w:sz w:val="22"/>
          <w:szCs w:val="22"/>
        </w:rPr>
        <w:t xml:space="preserve">Action Civics — 2 primary (assignments 19, 20), with #6, #18, #34, and #39 as hybrids</w:t>
      </w:r>
    </w:p>
    <w:p>
      <w:pPr>
        <w:spacing w:after="120"/>
      </w:pPr>
      <w:r>
        <w:rPr>
          <w:rFonts w:ascii="Calibri" w:cs="Calibri" w:eastAsia="Calibri" w:hAnsi="Calibri"/>
          <w:sz w:val="22"/>
          <w:szCs w:val="22"/>
        </w:rPr>
        <w:t xml:space="preserve">Barber strong democracy — 1 primary (#6), with #34 and #39 strengthening Barber as a hybrid warrant</w:t>
      </w:r>
    </w:p>
    <w:p>
      <w:pPr>
        <w:spacing w:after="120"/>
      </w:pPr>
      <w:r>
        <w:rPr>
          <w:rFonts w:ascii="Calibri" w:cs="Calibri" w:eastAsia="Calibri" w:hAnsi="Calibri"/>
          <w:sz w:val="22"/>
          <w:szCs w:val="22"/>
        </w:rPr>
        <w:t xml:space="preserve">Ballard safety-focused — 10 PRIMARY (assignments 30–39): the gap is now closed</w:t>
      </w:r>
    </w:p>
    <w:p>
      <w:pPr>
        <w:pStyle w:val="Heading2"/>
      </w:pPr>
      <w:r>
        <w:rPr>
          <w:rFonts w:ascii="Calibri" w:cs="Calibri" w:eastAsia="Calibri" w:hAnsi="Calibri"/>
          <w:b/>
          <w:bCs/>
          <w:color w:val="1F3864"/>
          <w:sz w:val="26"/>
          <w:szCs w:val="26"/>
        </w:rPr>
        <w:t xml:space="preserve">Before / After Comparison</w:t>
      </w:r>
    </w:p>
    <w:p>
      <w:pPr>
        <w:spacing w:after="120"/>
      </w:pPr>
      <w:r>
        <w:rPr>
          <w:rFonts w:ascii="Calibri" w:cs="Calibri" w:eastAsia="Calibri" w:hAnsi="Calibri"/>
          <w:sz w:val="22"/>
          <w:szCs w:val="22"/>
        </w:rPr>
        <w:t xml:space="preserve">Before (29 assignments): CAP was Kolb-dominant with SDT as motivational architecture and CVM as outcomes framework. Ballard was cited as a design influence but had no primary representation among the assignments. Barber was represented only once. Action civics was thin.</w:t>
      </w:r>
    </w:p>
    <w:p>
      <w:pPr>
        <w:spacing w:after="120"/>
      </w:pPr>
      <w:r>
        <w:rPr>
          <w:rFonts w:ascii="Calibri" w:cs="Calibri" w:eastAsia="Calibri" w:hAnsi="Calibri"/>
          <w:sz w:val="22"/>
          <w:szCs w:val="22"/>
        </w:rPr>
        <w:t xml:space="preserve">After (39 assignments): CAP is now defensibly a four-pillar framework. Ballard moves from 0 primary to 10 primary, becoming one of the most-represented warrants in the framework alongside Kolb. Barber gains two additional hybrid representations (#34 traffic safety petition; #39 policy brief). Action civics gains two additional full-cycle activations (#34 and #39). The Quick Engagement tier, previously theoretically thin (only Kolb-RO and SDT-C as primary warrants), now has Ballard as a third primary warrant via #30 and #31.</w:t>
      </w:r>
    </w:p>
    <w:p>
      <w:pPr>
        <w:pStyle w:val="Heading2"/>
      </w:pPr>
      <w:r>
        <w:rPr>
          <w:rFonts w:ascii="Calibri" w:cs="Calibri" w:eastAsia="Calibri" w:hAnsi="Calibri"/>
          <w:b/>
          <w:bCs/>
          <w:color w:val="1F3864"/>
          <w:sz w:val="26"/>
          <w:szCs w:val="26"/>
        </w:rPr>
        <w:t xml:space="preserve">The Updated Theoretical Hierarchy</w:t>
      </w:r>
    </w:p>
    <w:p>
      <w:pPr>
        <w:spacing w:after="120"/>
      </w:pPr>
      <w:r>
        <w:rPr>
          <w:rFonts w:ascii="Calibri" w:cs="Calibri" w:eastAsia="Calibri" w:hAnsi="Calibri"/>
          <w:sz w:val="22"/>
          <w:szCs w:val="22"/>
        </w:rPr>
        <w:t xml:space="preserve">With the safety additions implemented, the dissertation can now make this cleaner four-pillar claim:</w:t>
      </w:r>
    </w:p>
    <w:p>
      <w:pPr>
        <w:spacing w:after="120"/>
        <w:rPr>
          <w:i/>
          <w:iCs/>
        </w:rPr>
      </w:pPr>
      <w:r>
        <w:rPr>
          <w:rFonts w:ascii="Calibri" w:cs="Calibri" w:eastAsia="Calibri" w:hAnsi="Calibri"/>
          <w:i/>
          <w:iCs/>
          <w:sz w:val="22"/>
          <w:szCs w:val="22"/>
        </w:rPr>
        <w:t xml:space="preserve">CAP draws on Kolb's experiential learning theory for its method (the cycle of concrete experience, reflective observation, abstract conceptualization, and active experimentation), Ryan and Deci's Self-Determination Theory for its motivational structure (the menu architecture preserves autonomy while building competence and relatedness), the Civic Voluntarism Model of Verba, Schlozman, and Brady for its outcomes framework (the civic resources, psychological engagement, and recruitment networks the model identifies as predictors of participation), and Ballard, Cohen, and Littenberg-Tobias's empirical finding for its action-category emphasis (safety-focused civic projects produced the strongest gains in civic commitment, self-efficacy, and knowledge in their meta-analysis). Action civics provides the activity-cycle scaffolding for the most ambitious assignments, and Barber's strong democracy provides the deliberative-participation warrant for the assignments that involve direct civic voice.</w:t>
      </w:r>
    </w:p>
    <w:p>
      <w:pPr>
        <w:spacing w:after="120"/>
      </w:pPr>
      <w:r>
        <w:rPr>
          <w:rFonts w:ascii="Calibri" w:cs="Calibri" w:eastAsia="Calibri" w:hAnsi="Calibri"/>
          <w:sz w:val="22"/>
          <w:szCs w:val="22"/>
        </w:rPr>
        <w:t xml:space="preserve">That is a substantively stronger four-sentence theoretical positioning than the original framework could support, and it is now defensible from the warrant mapping rather than from intent alone.</w:t>
      </w:r>
    </w:p>
    <w:p>
      <w:pPr>
        <w:pStyle w:val="Heading2"/>
      </w:pPr>
      <w:r>
        <w:rPr>
          <w:rFonts w:ascii="Calibri" w:cs="Calibri" w:eastAsia="Calibri" w:hAnsi="Calibri"/>
          <w:b/>
          <w:bCs/>
          <w:color w:val="1F3864"/>
          <w:sz w:val="26"/>
          <w:szCs w:val="26"/>
        </w:rPr>
        <w:t xml:space="preserve">Remaining Considerations</w:t>
      </w:r>
    </w:p>
    <w:p>
      <w:pPr>
        <w:spacing w:after="120"/>
      </w:pPr>
      <w:r>
        <w:rPr>
          <w:rFonts w:ascii="Calibri" w:cs="Calibri" w:eastAsia="Calibri" w:hAnsi="Calibri"/>
          <w:sz w:val="22"/>
          <w:szCs w:val="22"/>
        </w:rPr>
        <w:t xml:space="preserve">Assignment #35 (Financial Predator Mapping) is the weakest pure-Ballard fit of the ten safety additions — financial precarity is closer to consumer protection than to Ballard's narrower physical-safety construct. It is defensible as 'financial safety' for community college students, but if a committee member challenges any of the ten new assignments, this is the one to either reframe explicitly or reposition as primarily SDT-C with Ballard secondary.</w:t>
      </w:r>
    </w:p>
    <w:p>
      <w:pPr>
        <w:spacing w:after="120"/>
      </w:pPr>
      <w:r>
        <w:rPr>
          <w:rFonts w:ascii="Calibri" w:cs="Calibri" w:eastAsia="Calibri" w:hAnsi="Calibri"/>
          <w:sz w:val="22"/>
          <w:szCs w:val="22"/>
        </w:rPr>
        <w:t xml:space="preserve">Assignment #38 (Emergency Management Agency Visit) overlaps structurally with the existing #1 (Government Meeting Attendance) and #2 (Civic Interview). The Ballard primary warrant differentiates it conceptually, and the agency-coordination focus differentiates it substantively, but instructors implementing CAP should be aware of the structural similarity.</w:t>
      </w:r>
    </w:p>
    <w:p>
      <w:pPr>
        <w:spacing w:after="120"/>
      </w:pPr>
      <w:r>
        <w:rPr>
          <w:rFonts w:ascii="Calibri" w:cs="Calibri" w:eastAsia="Calibri" w:hAnsi="Calibri"/>
          <w:sz w:val="22"/>
          <w:szCs w:val="22"/>
        </w:rPr>
        <w:t xml:space="preserve">The two assignments doing the most theoretical work in the new set are #34 (Traffic Safety) and #39 (Campus Safety Policy Brief). Both activate Ballard plus the full action civics cycle, and #39 additionally activates Barber. These are the exemplars to lead with when describing the safety-focused contribution in the dissertation.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pPr>
    <w:rPr>
      <w:rFonts w:ascii="Calibri" w:cs="Calibri" w:eastAsia="Calibri" w:hAnsi="Calibri"/>
      <w:b/>
      <w:bCs/>
      <w:color w:val="1F3864"/>
      <w:sz w:val="32"/>
      <w:szCs w:val="32"/>
    </w:rPr>
  </w:style>
  <w:style w:type="paragraph" w:styleId="Heading2">
    <w:name w:val="Heading 2"/>
    <w:basedOn w:val="Normal"/>
    <w:next w:val="Normal"/>
    <w:qFormat/>
    <w:pPr>
      <w:spacing w:after="120" w:before="200"/>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2026-04-09T01:44:14.016Z</dcterms:created>
  <dcterms:modified xsi:type="dcterms:W3CDTF">2026-04-09T01:44:14.017Z</dcterms:modified>
</cp:coreProperties>
</file>

<file path=docProps/custom.xml><?xml version="1.0" encoding="utf-8"?>
<Properties xmlns="http://schemas.openxmlformats.org/officeDocument/2006/custom-properties" xmlns:vt="http://schemas.openxmlformats.org/officeDocument/2006/docPropsVTypes"/>
</file>