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Gantt Chart - Surface Attack Monitoring Tool</w:t>
      </w:r>
    </w:p>
    <w:p>
      <w:r>
        <w:t>Timeline: 12 weeks (W1–W12). Adjust as needed.</w:t>
      </w:r>
    </w:p>
    <w:p>
      <w:r>
        <w:t>Legend: ■ = planned work, blank = no work, [M] = milestone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Start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End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Dur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Depends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W01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W02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W03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W04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W05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W06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W07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W08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W09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W10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W11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W12</w:t>
            </w:r>
          </w:p>
        </w:tc>
      </w:tr>
      <w:tr>
        <w:tc>
          <w:tcPr>
            <w:tcW w:type="dxa" w:w="508"/>
          </w:tcPr>
          <w:p>
            <w:r>
              <w:t>Initiation</w:t>
            </w:r>
          </w:p>
        </w:tc>
        <w:tc>
          <w:tcPr>
            <w:tcW w:type="dxa" w:w="508"/>
          </w:tcPr>
          <w:p>
            <w:r>
              <w:t>W1</w:t>
            </w:r>
          </w:p>
        </w:tc>
        <w:tc>
          <w:tcPr>
            <w:tcW w:type="dxa" w:w="508"/>
          </w:tcPr>
          <w:p>
            <w:r>
              <w:t>W2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508"/>
          </w:tcPr>
          <w:p>
            <w:r>
              <w:t>Architecture &amp; Design</w:t>
            </w:r>
          </w:p>
        </w:tc>
        <w:tc>
          <w:tcPr>
            <w:tcW w:type="dxa" w:w="508"/>
          </w:tcPr>
          <w:p>
            <w:r>
              <w:t>W2</w:t>
            </w:r>
          </w:p>
        </w:tc>
        <w:tc>
          <w:tcPr>
            <w:tcW w:type="dxa" w:w="508"/>
          </w:tcPr>
          <w:p>
            <w:r>
              <w:t>W4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Initiation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508"/>
          </w:tcPr>
          <w:p>
            <w:r>
              <w:t>Backend Development</w:t>
            </w:r>
          </w:p>
        </w:tc>
        <w:tc>
          <w:tcPr>
            <w:tcW w:type="dxa" w:w="508"/>
          </w:tcPr>
          <w:p>
            <w:r>
              <w:t>W3</w:t>
            </w:r>
          </w:p>
        </w:tc>
        <w:tc>
          <w:tcPr>
            <w:tcW w:type="dxa" w:w="508"/>
          </w:tcPr>
          <w:p>
            <w:r>
              <w:t>W8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Arch &amp; Design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508"/>
          </w:tcPr>
          <w:p>
            <w:r>
              <w:t>Frontend &amp; UI</w:t>
            </w:r>
          </w:p>
        </w:tc>
        <w:tc>
          <w:tcPr>
            <w:tcW w:type="dxa" w:w="508"/>
          </w:tcPr>
          <w:p>
            <w:r>
              <w:t>W4</w:t>
            </w:r>
          </w:p>
        </w:tc>
        <w:tc>
          <w:tcPr>
            <w:tcW w:type="dxa" w:w="508"/>
          </w:tcPr>
          <w:p>
            <w:r>
              <w:t>W7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Arch, Backend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508"/>
          </w:tcPr>
          <w:p>
            <w:r>
              <w:t>Database &amp; Persistence</w:t>
            </w:r>
          </w:p>
        </w:tc>
        <w:tc>
          <w:tcPr>
            <w:tcW w:type="dxa" w:w="508"/>
          </w:tcPr>
          <w:p>
            <w:r>
              <w:t>W3</w:t>
            </w:r>
          </w:p>
        </w:tc>
        <w:tc>
          <w:tcPr>
            <w:tcW w:type="dxa" w:w="508"/>
          </w:tcPr>
          <w:p>
            <w:r>
              <w:t>W5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Arch &amp; Design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508"/>
          </w:tcPr>
          <w:p>
            <w:r>
              <w:t>Security &amp; Compliance</w:t>
            </w:r>
          </w:p>
        </w:tc>
        <w:tc>
          <w:tcPr>
            <w:tcW w:type="dxa" w:w="508"/>
          </w:tcPr>
          <w:p>
            <w:r>
              <w:t>W5</w:t>
            </w:r>
          </w:p>
        </w:tc>
        <w:tc>
          <w:tcPr>
            <w:tcW w:type="dxa" w:w="508"/>
          </w:tcPr>
          <w:p>
            <w:r>
              <w:t>W9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Backend, DB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508"/>
          </w:tcPr>
          <w:p>
            <w:r>
              <w:t>Testing &amp; QA</w:t>
            </w:r>
          </w:p>
        </w:tc>
        <w:tc>
          <w:tcPr>
            <w:tcW w:type="dxa" w:w="508"/>
          </w:tcPr>
          <w:p>
            <w:r>
              <w:t>W7</w:t>
            </w:r>
          </w:p>
        </w:tc>
        <w:tc>
          <w:tcPr>
            <w:tcW w:type="dxa" w:w="508"/>
          </w:tcPr>
          <w:p>
            <w:r>
              <w:t>W10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Backend, Frontend, Security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508"/>
          </w:tcPr>
          <w:p>
            <w:r>
              <w:t>DevOps &amp; Deployment</w:t>
            </w:r>
          </w:p>
        </w:tc>
        <w:tc>
          <w:tcPr>
            <w:tcW w:type="dxa" w:w="508"/>
          </w:tcPr>
          <w:p>
            <w:r>
              <w:t>W8</w:t>
            </w:r>
          </w:p>
        </w:tc>
        <w:tc>
          <w:tcPr>
            <w:tcW w:type="dxa" w:w="508"/>
          </w:tcPr>
          <w:p>
            <w:r>
              <w:t>W11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Backend, Testing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508"/>
          </w:tcPr>
          <w:p>
            <w:r>
              <w:t>Documentation &amp; Training</w:t>
            </w:r>
          </w:p>
        </w:tc>
        <w:tc>
          <w:tcPr>
            <w:tcW w:type="dxa" w:w="508"/>
          </w:tcPr>
          <w:p>
            <w:r>
              <w:t>W9</w:t>
            </w:r>
          </w:p>
        </w:tc>
        <w:tc>
          <w:tcPr>
            <w:tcW w:type="dxa" w:w="508"/>
          </w:tcPr>
          <w:p>
            <w:r>
              <w:t>W12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Testing, DevOps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</w:tr>
      <w:tr>
        <w:tc>
          <w:tcPr>
            <w:tcW w:type="dxa" w:w="508"/>
          </w:tcPr>
          <w:p>
            <w:r>
              <w:t>Project Management</w:t>
            </w:r>
          </w:p>
        </w:tc>
        <w:tc>
          <w:tcPr>
            <w:tcW w:type="dxa" w:w="508"/>
          </w:tcPr>
          <w:p>
            <w:r>
              <w:t>W1</w:t>
            </w:r>
          </w:p>
        </w:tc>
        <w:tc>
          <w:tcPr>
            <w:tcW w:type="dxa" w:w="508"/>
          </w:tcPr>
          <w:p>
            <w:r>
              <w:t>W12</w:t>
            </w:r>
          </w:p>
        </w:tc>
        <w:tc>
          <w:tcPr>
            <w:tcW w:type="dxa" w:w="508"/>
          </w:tcPr>
          <w:p>
            <w:r>
              <w:t>12</w:t>
            </w:r>
          </w:p>
        </w:tc>
        <w:tc>
          <w:tcPr>
            <w:tcW w:type="dxa" w:w="508"/>
          </w:tcPr>
          <w:p>
            <w:r>
              <w:t>(ongoing)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rFonts w:ascii="Courier New" w:hAnsi="Courier New"/>
                <w:sz w:val="22"/>
              </w:rPr>
              <w:t>■</w:t>
            </w:r>
          </w:p>
        </w:tc>
      </w:tr>
    </w:tbl>
    <w:p>
      <w:r>
        <w:br/>
        <w:t>Notes:</w:t>
      </w:r>
    </w:p>
    <w:p>
      <w:r>
        <w:t>- Use Courier New in week columns to keep bars aligned.</w:t>
      </w:r>
    </w:p>
    <w:p>
      <w:r>
        <w:t>- Replace W01–W12 with calendar dates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