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419EF" w14:textId="5EEA620A" w:rsidR="007473C4" w:rsidRDefault="007473C4" w:rsidP="007473C4">
      <w:pPr>
        <w:spacing w:line="240" w:lineRule="auto"/>
        <w:jc w:val="center"/>
      </w:pPr>
      <w:r>
        <w:t>Incorporation</w:t>
      </w:r>
    </w:p>
    <w:p w14:paraId="74573854" w14:textId="77777777" w:rsidR="007473C4" w:rsidRPr="007473C4" w:rsidRDefault="007473C4" w:rsidP="007473C4">
      <w:pPr>
        <w:pStyle w:val="ListParagraph"/>
        <w:numPr>
          <w:ilvl w:val="0"/>
          <w:numId w:val="3"/>
        </w:numPr>
        <w:spacing w:line="240" w:lineRule="auto"/>
        <w:rPr>
          <w:rFonts w:cs="Times New Roman"/>
        </w:rPr>
      </w:pPr>
      <w:r w:rsidRPr="007473C4">
        <w:rPr>
          <w:rFonts w:cs="Times New Roman"/>
        </w:rPr>
        <w:t xml:space="preserve">Over the course of my </w:t>
      </w:r>
      <w:proofErr w:type="gramStart"/>
      <w:r w:rsidRPr="007473C4">
        <w:rPr>
          <w:rFonts w:cs="Times New Roman"/>
        </w:rPr>
        <w:t>research</w:t>
      </w:r>
      <w:proofErr w:type="gramEnd"/>
      <w:r w:rsidRPr="007473C4">
        <w:rPr>
          <w:rFonts w:cs="Times New Roman"/>
        </w:rPr>
        <w:t xml:space="preserve"> I have observed numerous instances where the user reacts to the virtual world as if it were “real”; it is not uncommon, for instance, to see a user attempt to lean against a tree within the VE only to stumble when their hand passes right through the virtual object. Such an occurrence can, and I will discuss this in depth </w:t>
      </w:r>
      <w:proofErr w:type="gramStart"/>
      <w:r w:rsidRPr="007473C4">
        <w:rPr>
          <w:rFonts w:cs="Times New Roman"/>
        </w:rPr>
        <w:t>later on</w:t>
      </w:r>
      <w:proofErr w:type="gramEnd"/>
      <w:r w:rsidRPr="007473C4">
        <w:rPr>
          <w:rFonts w:cs="Times New Roman"/>
        </w:rPr>
        <w:t>, largely be attributed to the program moving the user to a state of, what is commonly known as, “presence”: a sense that they are, to some extent, psychologically and physically present within the VE.</w:t>
      </w:r>
    </w:p>
    <w:p w14:paraId="40972790" w14:textId="77777777" w:rsidR="007473C4" w:rsidRPr="007473C4" w:rsidRDefault="007473C4" w:rsidP="007473C4">
      <w:pPr>
        <w:pStyle w:val="ListParagraph"/>
        <w:numPr>
          <w:ilvl w:val="0"/>
          <w:numId w:val="3"/>
        </w:numPr>
        <w:spacing w:line="240" w:lineRule="auto"/>
        <w:rPr>
          <w:rFonts w:cs="Times New Roman"/>
        </w:rPr>
      </w:pPr>
      <w:r w:rsidRPr="007473C4">
        <w:rPr>
          <w:rFonts w:cs="Times New Roman"/>
        </w:rPr>
        <w:t xml:space="preserve">Because of the high visual fidelity of certain VEs, it is relatively easy to fall into the common ways through which we understand and interact with objective reality; thus, “leaning” against a virtual tree or “dodging” a virtual object which speeds towards us, actions which are almost instinctive responses, do not require as much work on the part of the program to illicit such actions. We will instinctively duck to avoid, say, a storm trooper’s blaster fire, knowing throughout the entire experience that the laser headed our way is not real. Even though the user may not have entered into a state of true presence, because the virtual </w:t>
      </w:r>
      <w:r w:rsidRPr="007473C4">
        <w:rPr>
          <w:rFonts w:cs="Times New Roman"/>
          <w:i/>
        </w:rPr>
        <w:t xml:space="preserve">Star Wars </w:t>
      </w:r>
      <w:r w:rsidRPr="007473C4">
        <w:rPr>
          <w:rFonts w:cs="Times New Roman"/>
        </w:rPr>
        <w:t xml:space="preserve">world appears familiar enough to our expectations of such a ‘world,’ and the mechanics for acting and interacting within that ‘world’ are similar to those of objective reality, the program is able to illicit an unconscious physical response despite us knowing full well that it is nothing more than a game. The degree of presence necessary to produce such an effect resulting from the transformation, though, is of a much stronger and slightly different nature. It suggests the possibility that the program </w:t>
      </w:r>
      <w:proofErr w:type="gramStart"/>
      <w:r w:rsidRPr="007473C4">
        <w:rPr>
          <w:rFonts w:cs="Times New Roman"/>
        </w:rPr>
        <w:t>is able to</w:t>
      </w:r>
      <w:proofErr w:type="gramEnd"/>
      <w:r w:rsidRPr="007473C4">
        <w:rPr>
          <w:rFonts w:cs="Times New Roman"/>
        </w:rPr>
        <w:t xml:space="preserve"> evoke a change in the user’s mode of perception so that they understand their human existence as directly and actively implicated within the virtual world. Thus, to terminologically reformulate the effect of the transformation, this experiential event produced a profound phenomenological shock resulting in a strong sense of physical disorientation—my feeling of vertigo—and an ontological disruption, a momentary disruption in, what Heidegger phrases, my basic state of “Being-in-the-world”: one feature of which he calls “thrownness.” Dasein “is thrown in such a way that, as Being-in-the-world, it is its “there”” (174). </w:t>
      </w:r>
    </w:p>
    <w:p w14:paraId="01D59436" w14:textId="77777777" w:rsidR="007473C4" w:rsidRPr="007473C4" w:rsidRDefault="007473C4" w:rsidP="007473C4">
      <w:pPr>
        <w:pStyle w:val="ListParagraph"/>
        <w:numPr>
          <w:ilvl w:val="0"/>
          <w:numId w:val="3"/>
        </w:numPr>
        <w:spacing w:line="240" w:lineRule="auto"/>
        <w:rPr>
          <w:rFonts w:cs="Times New Roman"/>
        </w:rPr>
      </w:pPr>
      <w:r w:rsidRPr="007473C4">
        <w:rPr>
          <w:rFonts w:cs="Times New Roman"/>
        </w:rPr>
        <w:t xml:space="preserve">Accordingly, the basic state of presence I shall refer to as, to borrow Heidegger’s term, “thrownness.” This is not a complete state of presence </w:t>
      </w:r>
      <w:proofErr w:type="gramStart"/>
      <w:r w:rsidRPr="007473C4">
        <w:rPr>
          <w:rFonts w:cs="Times New Roman"/>
        </w:rPr>
        <w:t>for</w:t>
      </w:r>
      <w:proofErr w:type="gramEnd"/>
      <w:r w:rsidRPr="007473C4">
        <w:rPr>
          <w:rFonts w:cs="Times New Roman"/>
        </w:rPr>
        <w:t xml:space="preserve"> it is entirely possible to be consciously aware of the HMD on your face and the controllers in your hand and still physically react to an object shot at you. Rather, to be “thrown” into a VE is to be “thrown” into an environment which </w:t>
      </w:r>
      <w:r w:rsidRPr="007473C4">
        <w:rPr>
          <w:rFonts w:cs="Times New Roman"/>
          <w:i/>
        </w:rPr>
        <w:t>matters to</w:t>
      </w:r>
      <w:r w:rsidRPr="007473C4">
        <w:rPr>
          <w:rFonts w:cs="Times New Roman"/>
        </w:rPr>
        <w:t xml:space="preserve">—has meaning for—the user; it is a mode of Being-in a ‘world’ that makes itself intelligible to the user as a ‘world’ which offers possibilities for action and possibilities for being acted upon. To be “thrown” into a VE, then, requires that the specific VE be conceptually and mechanically viable: it must be </w:t>
      </w:r>
      <w:r w:rsidRPr="007473C4">
        <w:rPr>
          <w:rFonts w:cs="Times New Roman"/>
          <w:i/>
        </w:rPr>
        <w:t>familiar</w:t>
      </w:r>
      <w:r w:rsidRPr="007473C4">
        <w:rPr>
          <w:rFonts w:cs="Times New Roman"/>
        </w:rPr>
        <w:t xml:space="preserve"> to how we conceive other environments and operate within them. Thus, if a user is placed in an environment which is entirely unfamiliar (an environment, say, composed of nothing but abstract shapes and colors with no visually defined objects or spaces) or if that environment’s mechanics do not cohesively translate (say, if a physical step forward is translated as a relocation of the user’s virtual body, </w:t>
      </w:r>
      <w:r w:rsidRPr="007473C4">
        <w:rPr>
          <w:rFonts w:cs="Times New Roman"/>
        </w:rPr>
        <w:lastRenderedPageBreak/>
        <w:t xml:space="preserve">inverting them upside down), then that ‘world’ will have no meaning, it will not </w:t>
      </w:r>
      <w:r w:rsidRPr="007473C4">
        <w:rPr>
          <w:rFonts w:cs="Times New Roman"/>
          <w:i/>
        </w:rPr>
        <w:t>matter to</w:t>
      </w:r>
      <w:r w:rsidRPr="007473C4">
        <w:rPr>
          <w:rFonts w:cs="Times New Roman"/>
        </w:rPr>
        <w:t xml:space="preserve"> the user as it will not be intelligible to them. </w:t>
      </w:r>
    </w:p>
    <w:p w14:paraId="79A3875F" w14:textId="77777777" w:rsidR="007473C4" w:rsidRPr="007473C4" w:rsidRDefault="007473C4" w:rsidP="007473C4">
      <w:pPr>
        <w:pStyle w:val="ListParagraph"/>
        <w:numPr>
          <w:ilvl w:val="0"/>
          <w:numId w:val="3"/>
        </w:numPr>
        <w:spacing w:line="240" w:lineRule="auto"/>
        <w:rPr>
          <w:rFonts w:cs="Times New Roman"/>
        </w:rPr>
      </w:pPr>
      <w:r w:rsidRPr="007473C4">
        <w:rPr>
          <w:rFonts w:cs="Times New Roman"/>
        </w:rPr>
        <w:t xml:space="preserve">However, to successfully move a user to a state of true presence requires more: it must, firstly, “throw” the user into a ‘world’ that makes sense and </w:t>
      </w:r>
      <w:r w:rsidRPr="007473C4">
        <w:rPr>
          <w:rFonts w:cs="Times New Roman"/>
          <w:i/>
        </w:rPr>
        <w:t>matters to</w:t>
      </w:r>
      <w:r w:rsidRPr="007473C4">
        <w:rPr>
          <w:rFonts w:cs="Times New Roman"/>
        </w:rPr>
        <w:t xml:space="preserve"> them; secondly, it must then condition the user’s behavior and actions within the VE so that they familiarize themselves with the ‘world’ and the mechanics for operating within it; and, lastly, through that conditioning, psychologically immerse the user, directing their attention away from their existence in objective reality and toward the objects and entities within the VE.</w:t>
      </w:r>
      <w:r w:rsidRPr="008059E3">
        <w:rPr>
          <w:rStyle w:val="FootnoteReference"/>
          <w:rFonts w:cs="Times New Roman"/>
        </w:rPr>
        <w:footnoteReference w:id="1"/>
      </w:r>
      <w:r w:rsidRPr="007473C4">
        <w:rPr>
          <w:rFonts w:cs="Times New Roman"/>
        </w:rPr>
        <w:t xml:space="preserve"> In other words, by being “thrown” into a ‘world’ that </w:t>
      </w:r>
      <w:r w:rsidRPr="007473C4">
        <w:rPr>
          <w:rFonts w:cs="Times New Roman"/>
          <w:i/>
        </w:rPr>
        <w:t xml:space="preserve">matters to </w:t>
      </w:r>
      <w:r w:rsidRPr="007473C4">
        <w:rPr>
          <w:rFonts w:cs="Times New Roman"/>
        </w:rPr>
        <w:t>them and encouraged to actively engage with the objects and entities which populate the VE as they so choose, what Heidegger calls our “circumspective dealings” (111), the user becomes “</w:t>
      </w:r>
      <w:proofErr w:type="spellStart"/>
      <w:r w:rsidRPr="007473C4">
        <w:rPr>
          <w:rFonts w:cs="Times New Roman"/>
        </w:rPr>
        <w:t>concernfully</w:t>
      </w:r>
      <w:proofErr w:type="spellEnd"/>
      <w:r w:rsidRPr="007473C4">
        <w:rPr>
          <w:rFonts w:cs="Times New Roman"/>
        </w:rPr>
        <w:t xml:space="preserve"> absorbed” in their activity (146). Thus, I believe psychological immersion can be usefully understood as Heidegger’s “</w:t>
      </w:r>
      <w:proofErr w:type="spellStart"/>
      <w:r w:rsidRPr="007473C4">
        <w:rPr>
          <w:rFonts w:cs="Times New Roman"/>
        </w:rPr>
        <w:t>concernful</w:t>
      </w:r>
      <w:proofErr w:type="spellEnd"/>
      <w:r w:rsidRPr="007473C4">
        <w:rPr>
          <w:rFonts w:cs="Times New Roman"/>
        </w:rPr>
        <w:t xml:space="preserve"> absorption.” </w:t>
      </w:r>
    </w:p>
    <w:p w14:paraId="118D4AB7" w14:textId="77777777" w:rsidR="007473C4" w:rsidRPr="007473C4" w:rsidRDefault="007473C4" w:rsidP="007473C4">
      <w:pPr>
        <w:pStyle w:val="ListParagraph"/>
        <w:numPr>
          <w:ilvl w:val="0"/>
          <w:numId w:val="3"/>
        </w:numPr>
        <w:spacing w:line="240" w:lineRule="auto"/>
        <w:rPr>
          <w:rFonts w:cs="Times New Roman"/>
        </w:rPr>
      </w:pPr>
      <w:r w:rsidRPr="007473C4">
        <w:rPr>
          <w:rFonts w:cs="Times New Roman"/>
        </w:rPr>
        <w:t xml:space="preserve">On the other hand, a true state of presence suggests a mode of perception wherein the user has no conscious awareness of the physical equipment (the PC, HMD, and handheld controllers) which generate and mediate the experience, and no conscious understanding of the subject-object dichotomy: no awareness of themselves as a </w:t>
      </w:r>
      <w:r w:rsidRPr="007473C4">
        <w:rPr>
          <w:rFonts w:cs="Times New Roman"/>
          <w:i/>
        </w:rPr>
        <w:t>physical</w:t>
      </w:r>
      <w:r w:rsidRPr="007473C4">
        <w:rPr>
          <w:rFonts w:cs="Times New Roman"/>
        </w:rPr>
        <w:t xml:space="preserve"> subject contrasted with a ‘world’ of </w:t>
      </w:r>
      <w:r w:rsidRPr="007473C4">
        <w:rPr>
          <w:rFonts w:cs="Times New Roman"/>
          <w:i/>
        </w:rPr>
        <w:t>virtual</w:t>
      </w:r>
      <w:r w:rsidRPr="007473C4">
        <w:rPr>
          <w:rFonts w:cs="Times New Roman"/>
        </w:rPr>
        <w:t xml:space="preserve"> “things” and objects. It is a mode of Being-in a virtual world wherein the user has no conscious awareness of their actual existence in objective reality, a mode where they are their “there” in the virtual world. So then, in light of this, to move a user to a state of true presence in the VE into which they are “thrown” the program must, by directing or conditioning our “circumspective dealings,” “</w:t>
      </w:r>
      <w:proofErr w:type="spellStart"/>
      <w:r w:rsidRPr="007473C4">
        <w:rPr>
          <w:rFonts w:cs="Times New Roman"/>
        </w:rPr>
        <w:t>concernfully</w:t>
      </w:r>
      <w:proofErr w:type="spellEnd"/>
      <w:r w:rsidRPr="007473C4">
        <w:rPr>
          <w:rFonts w:cs="Times New Roman"/>
        </w:rPr>
        <w:t xml:space="preserve"> absorb” the user “in whatever work-world likes closest to” them so that their attention is more focused on the objects and entities within the virtual world then the physical equipment or their existence in objective reality (101). Accordingly, I shall call this state of true presence, to adapt Heidegger’s phrase, Being-in-</w:t>
      </w:r>
      <w:r w:rsidRPr="007473C4">
        <w:rPr>
          <w:rFonts w:cs="Times New Roman"/>
          <w:i/>
        </w:rPr>
        <w:t>a</w:t>
      </w:r>
      <w:r w:rsidRPr="007473C4">
        <w:rPr>
          <w:rFonts w:cs="Times New Roman"/>
        </w:rPr>
        <w:t>-virtual-world-in-</w:t>
      </w:r>
      <w:r w:rsidRPr="007473C4">
        <w:rPr>
          <w:rFonts w:cs="Times New Roman"/>
          <w:i/>
        </w:rPr>
        <w:t>the</w:t>
      </w:r>
      <w:r w:rsidRPr="007473C4">
        <w:rPr>
          <w:rFonts w:cs="Times New Roman"/>
        </w:rPr>
        <w:t>-world. I must pause and note that I differentiate between the common mode of presence and that of true presence or Being-in-</w:t>
      </w:r>
      <w:r w:rsidRPr="007473C4">
        <w:rPr>
          <w:rFonts w:cs="Times New Roman"/>
          <w:i/>
        </w:rPr>
        <w:t>a</w:t>
      </w:r>
      <w:r w:rsidRPr="007473C4">
        <w:rPr>
          <w:rFonts w:cs="Times New Roman"/>
        </w:rPr>
        <w:t>-virtual-world-in-</w:t>
      </w:r>
      <w:proofErr w:type="gramStart"/>
      <w:r w:rsidRPr="007473C4">
        <w:rPr>
          <w:rFonts w:cs="Times New Roman"/>
          <w:i/>
        </w:rPr>
        <w:t>the</w:t>
      </w:r>
      <w:r w:rsidRPr="007473C4">
        <w:rPr>
          <w:rFonts w:cs="Times New Roman"/>
          <w:i/>
        </w:rPr>
        <w:softHyphen/>
      </w:r>
      <w:r w:rsidRPr="007473C4">
        <w:rPr>
          <w:rFonts w:cs="Times New Roman"/>
        </w:rPr>
        <w:t>-</w:t>
      </w:r>
      <w:proofErr w:type="gramEnd"/>
      <w:r w:rsidRPr="007473C4">
        <w:rPr>
          <w:rFonts w:cs="Times New Roman"/>
        </w:rPr>
        <w:t xml:space="preserve">world because the former does not have enough substance to explain the cause for the disorientation produced by the transformation. To be only “thrown” into a VE the user is its “there” but an awareness of the physical equipment and the user’s existence in objective reality exists to some extent; though the ‘world’ may illicit instinctual responses, it is unable to move the user to a mode of Being-in the VE where the user understands their human existence as actively implicated within the VE. Such a mode of Being is achieved only when the ‘world’ moves the user to a mode of perception where that ‘world’ and their experiences within it are disclosed to them as a formulation of, and I will discuss this in more detail at a later point, what Heidegger calls “thrownness,” “projection,” and “fallenness.” Thus, when a virtual world </w:t>
      </w:r>
      <w:proofErr w:type="gramStart"/>
      <w:r w:rsidRPr="007473C4">
        <w:rPr>
          <w:rFonts w:cs="Times New Roman"/>
        </w:rPr>
        <w:t>is able to</w:t>
      </w:r>
      <w:proofErr w:type="gramEnd"/>
      <w:r w:rsidRPr="007473C4">
        <w:rPr>
          <w:rFonts w:cs="Times New Roman"/>
        </w:rPr>
        <w:t xml:space="preserve"> mimic </w:t>
      </w:r>
      <w:r w:rsidRPr="007473C4">
        <w:rPr>
          <w:rFonts w:cs="Times New Roman"/>
        </w:rPr>
        <w:lastRenderedPageBreak/>
        <w:t>our “thrownness,” “projection,” and “fallenness” in objective reality it will be able to successfully move the user to a mode of Being-in-</w:t>
      </w:r>
      <w:r w:rsidRPr="007473C4">
        <w:rPr>
          <w:rFonts w:cs="Times New Roman"/>
          <w:i/>
        </w:rPr>
        <w:t>a</w:t>
      </w:r>
      <w:r w:rsidRPr="007473C4">
        <w:rPr>
          <w:rFonts w:cs="Times New Roman"/>
        </w:rPr>
        <w:t>-virtual-world-in-</w:t>
      </w:r>
      <w:r w:rsidRPr="007473C4">
        <w:rPr>
          <w:rFonts w:cs="Times New Roman"/>
          <w:i/>
        </w:rPr>
        <w:t>the</w:t>
      </w:r>
      <w:r w:rsidRPr="007473C4">
        <w:rPr>
          <w:rFonts w:cs="Times New Roman"/>
        </w:rPr>
        <w:t>-world.</w:t>
      </w:r>
    </w:p>
    <w:p w14:paraId="56B4DB50" w14:textId="77777777" w:rsidR="007473C4" w:rsidRPr="008059E3" w:rsidRDefault="007473C4" w:rsidP="007473C4">
      <w:pPr>
        <w:spacing w:line="240" w:lineRule="auto"/>
        <w:ind w:firstLine="720"/>
        <w:rPr>
          <w:rFonts w:cs="Times New Roman"/>
        </w:rPr>
      </w:pPr>
      <w:r>
        <w:t xml:space="preserve"> </w:t>
      </w:r>
      <w:r w:rsidRPr="008059E3">
        <w:rPr>
          <w:rFonts w:cs="Times New Roman"/>
        </w:rPr>
        <w:t>No user, no matter how experienced, is already in a mode of Being-in-</w:t>
      </w:r>
      <w:r w:rsidRPr="008059E3">
        <w:rPr>
          <w:rFonts w:cs="Times New Roman"/>
          <w:i/>
        </w:rPr>
        <w:t>a</w:t>
      </w:r>
      <w:r w:rsidRPr="008059E3">
        <w:rPr>
          <w:rFonts w:cs="Times New Roman"/>
        </w:rPr>
        <w:t>-virtual-world-in-</w:t>
      </w:r>
      <w:proofErr w:type="gramStart"/>
      <w:r w:rsidRPr="008059E3">
        <w:rPr>
          <w:rFonts w:cs="Times New Roman"/>
          <w:i/>
        </w:rPr>
        <w:t>the</w:t>
      </w:r>
      <w:r w:rsidRPr="008059E3">
        <w:rPr>
          <w:rFonts w:cs="Times New Roman"/>
          <w:i/>
        </w:rPr>
        <w:softHyphen/>
      </w:r>
      <w:r w:rsidRPr="008059E3">
        <w:rPr>
          <w:rFonts w:cs="Times New Roman"/>
        </w:rPr>
        <w:t>-</w:t>
      </w:r>
      <w:proofErr w:type="gramEnd"/>
      <w:r w:rsidRPr="008059E3">
        <w:rPr>
          <w:rFonts w:cs="Times New Roman"/>
        </w:rPr>
        <w:t xml:space="preserve">world when they first dive into a VE; rather, it </w:t>
      </w:r>
      <w:r>
        <w:rPr>
          <w:rFonts w:cs="Times New Roman"/>
        </w:rPr>
        <w:t>is a mode of perception</w:t>
      </w:r>
      <w:r w:rsidRPr="008059E3">
        <w:rPr>
          <w:rFonts w:cs="Times New Roman"/>
        </w:rPr>
        <w:t xml:space="preserve"> that is rhetorically achieved over </w:t>
      </w:r>
      <w:proofErr w:type="gramStart"/>
      <w:r w:rsidRPr="008059E3">
        <w:rPr>
          <w:rFonts w:cs="Times New Roman"/>
        </w:rPr>
        <w:t>a period of time</w:t>
      </w:r>
      <w:proofErr w:type="gramEnd"/>
      <w:r w:rsidRPr="008059E3">
        <w:rPr>
          <w:rFonts w:cs="Times New Roman"/>
        </w:rPr>
        <w:t xml:space="preserve"> through many different factors. Yet, conversely, no one is “thrown” into a virtual world and </w:t>
      </w:r>
      <w:r w:rsidRPr="008059E3">
        <w:rPr>
          <w:rFonts w:cs="Times New Roman"/>
          <w:i/>
        </w:rPr>
        <w:t xml:space="preserve">sees </w:t>
      </w:r>
      <w:r w:rsidRPr="008059E3">
        <w:rPr>
          <w:rFonts w:cs="Times New Roman"/>
        </w:rPr>
        <w:t xml:space="preserve">the reality: a visual, virtual artifact is, at base, bytes of data which are rendered into pixels which compose three-dimensional (3-D) images mediated through the two displays of the HMD. The question is what do we </w:t>
      </w:r>
      <w:r w:rsidRPr="008059E3">
        <w:rPr>
          <w:rFonts w:cs="Times New Roman"/>
          <w:i/>
        </w:rPr>
        <w:t>see</w:t>
      </w:r>
      <w:r w:rsidRPr="008059E3">
        <w:rPr>
          <w:rFonts w:cs="Times New Roman"/>
        </w:rPr>
        <w:t xml:space="preserve"> and what do we see in VR? Virtual leaves, grass, trees, we instantly identify and </w:t>
      </w:r>
      <w:r w:rsidRPr="008059E3">
        <w:rPr>
          <w:rFonts w:cs="Times New Roman"/>
          <w:i/>
        </w:rPr>
        <w:t>see</w:t>
      </w:r>
      <w:r w:rsidRPr="008059E3">
        <w:rPr>
          <w:rFonts w:cs="Times New Roman"/>
        </w:rPr>
        <w:t xml:space="preserve"> them as such. So then, what we see (pixels mediated through lenses) is a far cry away from what we </w:t>
      </w:r>
      <w:r w:rsidRPr="008059E3">
        <w:rPr>
          <w:rFonts w:cs="Times New Roman"/>
          <w:i/>
        </w:rPr>
        <w:t>see</w:t>
      </w:r>
      <w:r w:rsidRPr="008059E3">
        <w:rPr>
          <w:rFonts w:cs="Times New Roman"/>
        </w:rPr>
        <w:t xml:space="preserve"> (leaves, trees, and grass). Thus, the ability of VR technology to “throw” and “</w:t>
      </w:r>
      <w:proofErr w:type="spellStart"/>
      <w:r w:rsidRPr="008059E3">
        <w:rPr>
          <w:rFonts w:cs="Times New Roman"/>
        </w:rPr>
        <w:t>concernfully</w:t>
      </w:r>
      <w:proofErr w:type="spellEnd"/>
      <w:r w:rsidRPr="008059E3">
        <w:rPr>
          <w:rFonts w:cs="Times New Roman"/>
        </w:rPr>
        <w:t xml:space="preserve"> absorb” a user—first and foremost—demonstrates the technology’s capacity to change the user’s mode of perception; it must move them from </w:t>
      </w:r>
      <w:r w:rsidRPr="008059E3">
        <w:rPr>
          <w:rFonts w:cs="Times New Roman"/>
          <w:i/>
        </w:rPr>
        <w:t>seeing</w:t>
      </w:r>
      <w:r w:rsidRPr="008059E3">
        <w:rPr>
          <w:rFonts w:cs="Times New Roman"/>
        </w:rPr>
        <w:t xml:space="preserve"> the </w:t>
      </w:r>
      <w:proofErr w:type="spellStart"/>
      <w:r w:rsidRPr="008059E3">
        <w:rPr>
          <w:rFonts w:cs="Times New Roman"/>
        </w:rPr>
        <w:t>simulacral</w:t>
      </w:r>
      <w:proofErr w:type="spellEnd"/>
      <w:r w:rsidRPr="008059E3">
        <w:rPr>
          <w:rFonts w:cs="Times New Roman"/>
        </w:rPr>
        <w:t xml:space="preserve"> world </w:t>
      </w:r>
      <w:r w:rsidRPr="008059E3">
        <w:rPr>
          <w:rFonts w:cs="Times New Roman"/>
          <w:i/>
        </w:rPr>
        <w:t>as</w:t>
      </w:r>
      <w:r w:rsidRPr="008059E3">
        <w:rPr>
          <w:rFonts w:cs="Times New Roman"/>
        </w:rPr>
        <w:t xml:space="preserve"> an artificial construct from which the user is separated to some extent to a mode of perception wherein the user perceives their physical and psychological presence as actively implicated within the virtual world as a participant </w:t>
      </w:r>
      <w:proofErr w:type="gramStart"/>
      <w:r w:rsidRPr="008059E3">
        <w:rPr>
          <w:rFonts w:cs="Times New Roman"/>
        </w:rPr>
        <w:t>whom</w:t>
      </w:r>
      <w:proofErr w:type="gramEnd"/>
      <w:r w:rsidRPr="008059E3">
        <w:rPr>
          <w:rFonts w:cs="Times New Roman"/>
        </w:rPr>
        <w:t xml:space="preserve"> acts and is acted on. In other words, it must replicate or mimic our basic state of “Being-in-the-world” by constructing a persuasive ethos of reality through its </w:t>
      </w:r>
      <w:r w:rsidRPr="008059E3">
        <w:rPr>
          <w:rFonts w:cs="Times New Roman"/>
          <w:i/>
        </w:rPr>
        <w:t xml:space="preserve">technical </w:t>
      </w:r>
      <w:r w:rsidRPr="008059E3">
        <w:rPr>
          <w:rFonts w:cs="Times New Roman"/>
        </w:rPr>
        <w:t xml:space="preserve">and </w:t>
      </w:r>
      <w:r w:rsidRPr="008059E3">
        <w:rPr>
          <w:rFonts w:cs="Times New Roman"/>
          <w:i/>
        </w:rPr>
        <w:t>rhetorical function</w:t>
      </w:r>
      <w:r w:rsidRPr="008059E3">
        <w:rPr>
          <w:rFonts w:cs="Times New Roman"/>
        </w:rPr>
        <w:t xml:space="preserve">. What the ability to evoke a change in the user’s mode of perception </w:t>
      </w:r>
      <w:r>
        <w:rPr>
          <w:rFonts w:cs="Times New Roman"/>
        </w:rPr>
        <w:t>highlights</w:t>
      </w:r>
      <w:r w:rsidRPr="008059E3">
        <w:rPr>
          <w:rFonts w:cs="Times New Roman"/>
        </w:rPr>
        <w:t>, therefore, is the sheer rhetorical force exerted by a technology which is able to induce the user in a mode of Being-in-</w:t>
      </w:r>
      <w:r w:rsidRPr="008059E3">
        <w:rPr>
          <w:rFonts w:cs="Times New Roman"/>
          <w:i/>
        </w:rPr>
        <w:t>a</w:t>
      </w:r>
      <w:r w:rsidRPr="008059E3">
        <w:rPr>
          <w:rFonts w:cs="Times New Roman"/>
        </w:rPr>
        <w:t>-virtual-world-in-</w:t>
      </w:r>
      <w:r w:rsidRPr="008059E3">
        <w:rPr>
          <w:rFonts w:cs="Times New Roman"/>
          <w:i/>
        </w:rPr>
        <w:t>the</w:t>
      </w:r>
      <w:r w:rsidRPr="008059E3">
        <w:rPr>
          <w:rFonts w:cs="Times New Roman"/>
          <w:i/>
        </w:rPr>
        <w:softHyphen/>
      </w:r>
      <w:r w:rsidRPr="008059E3">
        <w:rPr>
          <w:rFonts w:cs="Times New Roman"/>
        </w:rPr>
        <w:t>-world, enabling them to psychologically receive an experience within the virtual world as “real” in the moment it is experienced.</w:t>
      </w:r>
    </w:p>
    <w:p w14:paraId="7423CBF6" w14:textId="77777777" w:rsidR="007473C4" w:rsidRPr="008059E3" w:rsidRDefault="007473C4" w:rsidP="007473C4">
      <w:pPr>
        <w:spacing w:line="240" w:lineRule="auto"/>
        <w:ind w:firstLine="720"/>
        <w:rPr>
          <w:rFonts w:cs="Times New Roman"/>
        </w:rPr>
      </w:pPr>
      <w:r w:rsidRPr="008059E3">
        <w:rPr>
          <w:rFonts w:cs="Times New Roman"/>
        </w:rPr>
        <w:t>In order for a virtual program to move a user to a mode of Being-in-</w:t>
      </w:r>
      <w:r w:rsidRPr="008059E3">
        <w:rPr>
          <w:rFonts w:cs="Times New Roman"/>
          <w:i/>
        </w:rPr>
        <w:t>a</w:t>
      </w:r>
      <w:r w:rsidRPr="008059E3">
        <w:rPr>
          <w:rFonts w:cs="Times New Roman"/>
          <w:i/>
        </w:rPr>
        <w:softHyphen/>
      </w:r>
      <w:r w:rsidRPr="008059E3">
        <w:rPr>
          <w:rFonts w:cs="Times New Roman"/>
        </w:rPr>
        <w:t>-virtual world-in-</w:t>
      </w:r>
      <w:r w:rsidRPr="008059E3">
        <w:rPr>
          <w:rFonts w:cs="Times New Roman"/>
          <w:i/>
        </w:rPr>
        <w:t>the</w:t>
      </w:r>
      <w:r w:rsidRPr="008059E3">
        <w:rPr>
          <w:rFonts w:cs="Times New Roman"/>
        </w:rPr>
        <w:t xml:space="preserve">-world, several things need to happen first: (1) the user must be, or become, acquainted with handling the equipment (the HMD and handheld controllers which allows them to engage with the virtual world) so they are able to manipulate it in a trouble-free, and almost subconscious, way; the user must be so familiar with using the equipment that they have no conscious awareness of the equipment </w:t>
      </w:r>
      <w:r w:rsidRPr="008059E3">
        <w:rPr>
          <w:rFonts w:cs="Times New Roman"/>
          <w:i/>
        </w:rPr>
        <w:t>as</w:t>
      </w:r>
      <w:r w:rsidRPr="008059E3">
        <w:rPr>
          <w:rFonts w:cs="Times New Roman"/>
        </w:rPr>
        <w:t xml:space="preserve"> equipment or their operation of such. Unless the user </w:t>
      </w:r>
      <w:proofErr w:type="gramStart"/>
      <w:r w:rsidRPr="008059E3">
        <w:rPr>
          <w:rFonts w:cs="Times New Roman"/>
        </w:rPr>
        <w:t>is able to</w:t>
      </w:r>
      <w:proofErr w:type="gramEnd"/>
      <w:r w:rsidRPr="008059E3">
        <w:rPr>
          <w:rFonts w:cs="Times New Roman"/>
        </w:rPr>
        <w:t xml:space="preserve"> forget about the necessary presence and their use of the equipment, unless the equipment-in-use is phenomenologically transparent, then the technology will never be able to evoke a mode of Being-in-</w:t>
      </w:r>
      <w:r w:rsidRPr="008059E3">
        <w:rPr>
          <w:rFonts w:cs="Times New Roman"/>
          <w:i/>
        </w:rPr>
        <w:t>a</w:t>
      </w:r>
      <w:r w:rsidRPr="008059E3">
        <w:rPr>
          <w:rFonts w:cs="Times New Roman"/>
        </w:rPr>
        <w:t>-virtual-world-in-</w:t>
      </w:r>
      <w:proofErr w:type="gramStart"/>
      <w:r w:rsidRPr="008059E3">
        <w:rPr>
          <w:rFonts w:cs="Times New Roman"/>
          <w:i/>
        </w:rPr>
        <w:t>the</w:t>
      </w:r>
      <w:r w:rsidRPr="008059E3">
        <w:rPr>
          <w:rFonts w:cs="Times New Roman"/>
          <w:i/>
        </w:rPr>
        <w:softHyphen/>
      </w:r>
      <w:r w:rsidRPr="008059E3">
        <w:rPr>
          <w:rFonts w:cs="Times New Roman"/>
        </w:rPr>
        <w:t>-</w:t>
      </w:r>
      <w:proofErr w:type="gramEnd"/>
      <w:r w:rsidRPr="008059E3">
        <w:rPr>
          <w:rFonts w:cs="Times New Roman"/>
        </w:rPr>
        <w:t>world. (2) To move the user to Being-in-</w:t>
      </w:r>
      <w:r w:rsidRPr="008059E3">
        <w:rPr>
          <w:rFonts w:cs="Times New Roman"/>
          <w:i/>
        </w:rPr>
        <w:t>a</w:t>
      </w:r>
      <w:r w:rsidRPr="008059E3">
        <w:rPr>
          <w:rFonts w:cs="Times New Roman"/>
        </w:rPr>
        <w:t>-virtual-world-in-</w:t>
      </w:r>
      <w:proofErr w:type="gramStart"/>
      <w:r w:rsidRPr="008059E3">
        <w:rPr>
          <w:rFonts w:cs="Times New Roman"/>
          <w:i/>
        </w:rPr>
        <w:t>the</w:t>
      </w:r>
      <w:r w:rsidRPr="008059E3">
        <w:rPr>
          <w:rFonts w:cs="Times New Roman"/>
          <w:i/>
        </w:rPr>
        <w:softHyphen/>
      </w:r>
      <w:r w:rsidRPr="008059E3">
        <w:rPr>
          <w:rFonts w:cs="Times New Roman"/>
        </w:rPr>
        <w:t>-</w:t>
      </w:r>
      <w:proofErr w:type="gramEnd"/>
      <w:r w:rsidRPr="008059E3">
        <w:rPr>
          <w:rFonts w:cs="Times New Roman"/>
        </w:rPr>
        <w:t xml:space="preserve">world VR technology must evoke a change in our mode of encountering virtual objects. The user must come to see the virtual objects as potential items of equipment which are, to use Heidegger’s phrase, “ready-to-hand” as being for a certain task (97). They must then become familiar with the mechanics for interacting with this equipment and their potential </w:t>
      </w:r>
      <w:proofErr w:type="gramStart"/>
      <w:r w:rsidRPr="008059E3">
        <w:rPr>
          <w:rFonts w:cs="Times New Roman"/>
        </w:rPr>
        <w:t>usages</w:t>
      </w:r>
      <w:proofErr w:type="gramEnd"/>
      <w:r w:rsidRPr="008059E3">
        <w:rPr>
          <w:rFonts w:cs="Times New Roman"/>
        </w:rPr>
        <w:t xml:space="preserve"> within the VE. (3) The program must first “throw” the user into a familiar ‘world’ which </w:t>
      </w:r>
      <w:r w:rsidRPr="008059E3">
        <w:rPr>
          <w:rFonts w:cs="Times New Roman"/>
          <w:i/>
        </w:rPr>
        <w:t>matters</w:t>
      </w:r>
      <w:r w:rsidRPr="008059E3">
        <w:rPr>
          <w:rFonts w:cs="Times New Roman"/>
        </w:rPr>
        <w:t xml:space="preserve"> and then, through its </w:t>
      </w:r>
      <w:r w:rsidRPr="008059E3">
        <w:rPr>
          <w:rFonts w:cs="Times New Roman"/>
          <w:i/>
        </w:rPr>
        <w:t xml:space="preserve">technical </w:t>
      </w:r>
      <w:r w:rsidRPr="008059E3">
        <w:rPr>
          <w:rFonts w:cs="Times New Roman"/>
        </w:rPr>
        <w:t xml:space="preserve">and </w:t>
      </w:r>
      <w:r w:rsidRPr="008059E3">
        <w:rPr>
          <w:rFonts w:cs="Times New Roman"/>
          <w:i/>
        </w:rPr>
        <w:t>rhetorical</w:t>
      </w:r>
      <w:r w:rsidRPr="008059E3">
        <w:rPr>
          <w:rFonts w:cs="Times New Roman"/>
        </w:rPr>
        <w:t xml:space="preserve"> </w:t>
      </w:r>
      <w:r w:rsidRPr="008059E3">
        <w:rPr>
          <w:rFonts w:cs="Times New Roman"/>
          <w:i/>
        </w:rPr>
        <w:t>function</w:t>
      </w:r>
      <w:r w:rsidRPr="008059E3">
        <w:rPr>
          <w:rFonts w:cs="Times New Roman"/>
        </w:rPr>
        <w:t>, “</w:t>
      </w:r>
      <w:proofErr w:type="spellStart"/>
      <w:r w:rsidRPr="008059E3">
        <w:rPr>
          <w:rFonts w:cs="Times New Roman"/>
        </w:rPr>
        <w:t>concernfully</w:t>
      </w:r>
      <w:proofErr w:type="spellEnd"/>
      <w:r w:rsidRPr="008059E3">
        <w:rPr>
          <w:rFonts w:cs="Times New Roman"/>
        </w:rPr>
        <w:t xml:space="preserve"> absorb” the user into that ‘world’ by constructing a persuasive virtual ecology and ethos of reality. This ecology will be persuasive if it allows the user to “project” themselves onto the possibilities afforded by the program. In other words, the possible actions allowed by the program must be familiar to those of objective reality; for if the user dives into a virtual world which only allows the user to stand in a single (virtual) place, being unable to virtually “move”—especially when </w:t>
      </w:r>
      <w:r w:rsidRPr="008059E3">
        <w:rPr>
          <w:rFonts w:cs="Times New Roman"/>
        </w:rPr>
        <w:lastRenderedPageBreak/>
        <w:t xml:space="preserve">the user can physically move in their objective space—the lack of this possibility for action will function as a </w:t>
      </w:r>
      <w:r>
        <w:rPr>
          <w:rFonts w:cs="Times New Roman"/>
        </w:rPr>
        <w:t>disturbance</w:t>
      </w:r>
      <w:r w:rsidRPr="008059E3">
        <w:rPr>
          <w:rFonts w:cs="Times New Roman"/>
        </w:rPr>
        <w:t xml:space="preserve"> for the user: the virtual world will be out of kilter with the projective possibilities of the real world. The “felt,” physical world of objective reality (the space of our physical locomotion) will be out of kilter with our position and lack of movement within the VE. When the three steps have been achieved, the user’s mode of Being is transformed from “Being-in-the-world” to Being-in-</w:t>
      </w:r>
      <w:r w:rsidRPr="008059E3">
        <w:rPr>
          <w:rFonts w:cs="Times New Roman"/>
          <w:i/>
        </w:rPr>
        <w:t>a</w:t>
      </w:r>
      <w:r w:rsidRPr="008059E3">
        <w:rPr>
          <w:rFonts w:cs="Times New Roman"/>
        </w:rPr>
        <w:t>-virtual-world-in-</w:t>
      </w:r>
      <w:r w:rsidRPr="008059E3">
        <w:rPr>
          <w:rFonts w:cs="Times New Roman"/>
          <w:i/>
        </w:rPr>
        <w:t>the</w:t>
      </w:r>
      <w:r w:rsidRPr="008059E3">
        <w:rPr>
          <w:rFonts w:cs="Times New Roman"/>
        </w:rPr>
        <w:t xml:space="preserve">-world. Once the user has undergone this transformation in their mode of Being, they have come to a mode of perception wherein their critical faculties have been suspended. The user, having now “fallen” into the virtual world, has no genuine understanding of the virtual world into which they have “fallen”: the user does not </w:t>
      </w:r>
      <w:r w:rsidRPr="008059E3">
        <w:rPr>
          <w:rFonts w:cs="Times New Roman"/>
          <w:i/>
        </w:rPr>
        <w:t xml:space="preserve">see </w:t>
      </w:r>
      <w:r w:rsidRPr="008059E3">
        <w:rPr>
          <w:rFonts w:cs="Times New Roman"/>
        </w:rPr>
        <w:t xml:space="preserve">the reality of the technologically generated and mediated experience, but has been moved to an “inauthentic” mode of Being wherein they experience an artificial world as “real.” </w:t>
      </w:r>
    </w:p>
    <w:p w14:paraId="08496750" w14:textId="77777777" w:rsidR="007473C4" w:rsidRPr="008059E3" w:rsidRDefault="007473C4" w:rsidP="007473C4">
      <w:pPr>
        <w:spacing w:line="240" w:lineRule="auto"/>
        <w:ind w:firstLine="720"/>
        <w:rPr>
          <w:rFonts w:cs="Times New Roman"/>
        </w:rPr>
      </w:pPr>
      <w:r w:rsidRPr="008059E3">
        <w:rPr>
          <w:rFonts w:cs="Times New Roman"/>
        </w:rPr>
        <w:t xml:space="preserve">Conversely, in </w:t>
      </w:r>
      <w:r w:rsidRPr="008059E3">
        <w:rPr>
          <w:rFonts w:cs="Times New Roman"/>
          <w:i/>
        </w:rPr>
        <w:t>Gnomes &amp; Goblins</w:t>
      </w:r>
      <w:r w:rsidRPr="008059E3">
        <w:rPr>
          <w:rFonts w:cs="Times New Roman"/>
        </w:rPr>
        <w:t xml:space="preserve"> the user visually experiences a change in scale but only after, and this is the key feature of the event, the user has become acquainted with their position within the VE and naturalized the processes and mechanics of interacting within it</w:t>
      </w:r>
      <w:r>
        <w:rPr>
          <w:rFonts w:cs="Times New Roman"/>
        </w:rPr>
        <w:t>;</w:t>
      </w:r>
      <w:r w:rsidRPr="008059E3">
        <w:rPr>
          <w:rFonts w:cs="Times New Roman"/>
        </w:rPr>
        <w:t xml:space="preserve"> only after the user has come to </w:t>
      </w:r>
      <w:r w:rsidRPr="008059E3">
        <w:rPr>
          <w:rFonts w:cs="Times New Roman"/>
          <w:i/>
        </w:rPr>
        <w:t>be</w:t>
      </w:r>
      <w:r w:rsidRPr="008059E3">
        <w:rPr>
          <w:rFonts w:cs="Times New Roman"/>
        </w:rPr>
        <w:t xml:space="preserve">-in-the-virtual-world into which they are “thrown” can the user experience the profound defamiliarization that accompanies the change in scale. The new, shall we say, goblin-sized perspective then allows the user to experience, technically, the same environment, but the meaning generated from experiencing that environment has been fundamentally altered because of the change in scale and the fact that the user has already experienced it: the status of the user shifts from something like an intrusive presence whose gaze is directed </w:t>
      </w:r>
      <w:r w:rsidRPr="008059E3">
        <w:rPr>
          <w:rFonts w:cs="Times New Roman"/>
          <w:i/>
        </w:rPr>
        <w:t>at</w:t>
      </w:r>
      <w:r w:rsidRPr="008059E3">
        <w:rPr>
          <w:rFonts w:cs="Times New Roman"/>
        </w:rPr>
        <w:t xml:space="preserve"> the goblins and their home to someone who is invited </w:t>
      </w:r>
      <w:r w:rsidRPr="008059E3">
        <w:rPr>
          <w:rFonts w:cs="Times New Roman"/>
          <w:i/>
        </w:rPr>
        <w:t>into</w:t>
      </w:r>
      <w:r w:rsidRPr="008059E3">
        <w:rPr>
          <w:rFonts w:cs="Times New Roman"/>
        </w:rPr>
        <w:t xml:space="preserve"> their home and encouraged to experience it from their perspective; the first position is one of exteriority, while the second is one of interiority. Though the relatively advanced state of the goblins’ civilization is observable in the degree of their technological development (e.g. the existence of a library, blacksmith shop, and alcohol still), the shift in perspective also encourages a shift in perception. Because of the drastic difference in size between the user and the goblin’s world, one first views the society and its level of development as something akin to a curio; however, once the user is transformed the VE becomes far more intimate and inviting. In other words, the ontological orientation or mode of Being of the user is—prompted by the phenomenological transformation and shock—transformed because our Being-in-</w:t>
      </w:r>
      <w:r w:rsidRPr="008059E3">
        <w:rPr>
          <w:rFonts w:cs="Times New Roman"/>
          <w:i/>
        </w:rPr>
        <w:t>a</w:t>
      </w:r>
      <w:r w:rsidRPr="008059E3">
        <w:rPr>
          <w:rFonts w:cs="Times New Roman"/>
        </w:rPr>
        <w:t>-virtual-world-in-</w:t>
      </w:r>
      <w:r w:rsidRPr="008059E3">
        <w:rPr>
          <w:rFonts w:cs="Times New Roman"/>
          <w:i/>
        </w:rPr>
        <w:t>the</w:t>
      </w:r>
      <w:r w:rsidRPr="008059E3">
        <w:rPr>
          <w:rFonts w:cs="Times New Roman"/>
          <w:i/>
        </w:rPr>
        <w:softHyphen/>
      </w:r>
      <w:r w:rsidRPr="008059E3">
        <w:rPr>
          <w:rFonts w:cs="Times New Roman"/>
        </w:rPr>
        <w:t>-world has been fundamentally altered; and, it is in this moment of disruption that the rhetorical force generated by VR technology is unconcealed.</w:t>
      </w:r>
    </w:p>
    <w:p w14:paraId="3E9BBE40" w14:textId="734E763C" w:rsidR="007473C4" w:rsidRPr="007473C4" w:rsidRDefault="007473C4" w:rsidP="007473C4">
      <w:pPr>
        <w:pStyle w:val="ListParagraph"/>
        <w:numPr>
          <w:ilvl w:val="0"/>
          <w:numId w:val="3"/>
        </w:numPr>
        <w:spacing w:line="240" w:lineRule="auto"/>
      </w:pPr>
    </w:p>
    <w:sectPr w:rsidR="007473C4" w:rsidRPr="007473C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947778" w14:textId="77777777" w:rsidR="007145AA" w:rsidRDefault="007145AA" w:rsidP="00BB44BC">
      <w:pPr>
        <w:spacing w:after="0" w:line="240" w:lineRule="auto"/>
      </w:pPr>
      <w:r>
        <w:separator/>
      </w:r>
    </w:p>
  </w:endnote>
  <w:endnote w:type="continuationSeparator" w:id="0">
    <w:p w14:paraId="6C338856" w14:textId="77777777" w:rsidR="007145AA" w:rsidRDefault="007145AA" w:rsidP="00BB4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C837B" w14:textId="77777777" w:rsidR="007145AA" w:rsidRDefault="007145AA" w:rsidP="00BB44BC">
      <w:pPr>
        <w:spacing w:after="0" w:line="240" w:lineRule="auto"/>
      </w:pPr>
      <w:r>
        <w:separator/>
      </w:r>
    </w:p>
  </w:footnote>
  <w:footnote w:type="continuationSeparator" w:id="0">
    <w:p w14:paraId="186A61A7" w14:textId="77777777" w:rsidR="007145AA" w:rsidRDefault="007145AA" w:rsidP="00BB44BC">
      <w:pPr>
        <w:spacing w:after="0" w:line="240" w:lineRule="auto"/>
      </w:pPr>
      <w:r>
        <w:continuationSeparator/>
      </w:r>
    </w:p>
  </w:footnote>
  <w:footnote w:id="1">
    <w:p w14:paraId="74781AFB" w14:textId="77777777" w:rsidR="007473C4" w:rsidRPr="00AF128E" w:rsidRDefault="007473C4" w:rsidP="007473C4">
      <w:pPr>
        <w:pStyle w:val="FootnoteText"/>
      </w:pPr>
      <w:r>
        <w:rPr>
          <w:rStyle w:val="FootnoteReference"/>
        </w:rPr>
        <w:footnoteRef/>
      </w:r>
      <w:r>
        <w:t xml:space="preserve"> </w:t>
      </w:r>
      <w:proofErr w:type="gramStart"/>
      <w:r>
        <w:t>According</w:t>
      </w:r>
      <w:proofErr w:type="gramEnd"/>
      <w:r>
        <w:t xml:space="preserve"> the International Society for Presence Research (ISPR), “psychological immersion” occurs “when part or all of a person’s perception is directed toward objects, events, and/or people created </w:t>
      </w:r>
      <w:r>
        <w:rPr>
          <w:i/>
        </w:rPr>
        <w:t>by</w:t>
      </w:r>
      <w:r>
        <w:t xml:space="preserve"> the technology, and away from objects, events, and/or people in the physical world” (par. 7d).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768F9"/>
    <w:multiLevelType w:val="hybridMultilevel"/>
    <w:tmpl w:val="4CDA9D5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5116D68"/>
    <w:multiLevelType w:val="hybridMultilevel"/>
    <w:tmpl w:val="1C8C89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E187A4F"/>
    <w:multiLevelType w:val="hybridMultilevel"/>
    <w:tmpl w:val="B8F88A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812552520">
    <w:abstractNumId w:val="0"/>
  </w:num>
  <w:num w:numId="2" w16cid:durableId="757599390">
    <w:abstractNumId w:val="1"/>
  </w:num>
  <w:num w:numId="3" w16cid:durableId="1339836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44BC"/>
    <w:rsid w:val="001075FA"/>
    <w:rsid w:val="0011011D"/>
    <w:rsid w:val="006F5659"/>
    <w:rsid w:val="007145AA"/>
    <w:rsid w:val="007473C4"/>
    <w:rsid w:val="00B01536"/>
    <w:rsid w:val="00BB44BC"/>
    <w:rsid w:val="00FC3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59CAC"/>
  <w15:chartTrackingRefBased/>
  <w15:docId w15:val="{018EC2A4-4239-49D7-8C7C-571E6CBE15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44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44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44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44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44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44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44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44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44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44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44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44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44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44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44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44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44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44BC"/>
    <w:rPr>
      <w:rFonts w:eastAsiaTheme="majorEastAsia" w:cstheme="majorBidi"/>
      <w:color w:val="272727" w:themeColor="text1" w:themeTint="D8"/>
    </w:rPr>
  </w:style>
  <w:style w:type="paragraph" w:styleId="Title">
    <w:name w:val="Title"/>
    <w:basedOn w:val="Normal"/>
    <w:next w:val="Normal"/>
    <w:link w:val="TitleChar"/>
    <w:uiPriority w:val="10"/>
    <w:qFormat/>
    <w:rsid w:val="00BB44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44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44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44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44BC"/>
    <w:pPr>
      <w:spacing w:before="160"/>
      <w:jc w:val="center"/>
    </w:pPr>
    <w:rPr>
      <w:i/>
      <w:iCs/>
      <w:color w:val="404040" w:themeColor="text1" w:themeTint="BF"/>
    </w:rPr>
  </w:style>
  <w:style w:type="character" w:customStyle="1" w:styleId="QuoteChar">
    <w:name w:val="Quote Char"/>
    <w:basedOn w:val="DefaultParagraphFont"/>
    <w:link w:val="Quote"/>
    <w:uiPriority w:val="29"/>
    <w:rsid w:val="00BB44BC"/>
    <w:rPr>
      <w:i/>
      <w:iCs/>
      <w:color w:val="404040" w:themeColor="text1" w:themeTint="BF"/>
    </w:rPr>
  </w:style>
  <w:style w:type="paragraph" w:styleId="ListParagraph">
    <w:name w:val="List Paragraph"/>
    <w:basedOn w:val="Normal"/>
    <w:uiPriority w:val="34"/>
    <w:qFormat/>
    <w:rsid w:val="00BB44BC"/>
    <w:pPr>
      <w:ind w:left="720"/>
      <w:contextualSpacing/>
    </w:pPr>
  </w:style>
  <w:style w:type="character" w:styleId="IntenseEmphasis">
    <w:name w:val="Intense Emphasis"/>
    <w:basedOn w:val="DefaultParagraphFont"/>
    <w:uiPriority w:val="21"/>
    <w:qFormat/>
    <w:rsid w:val="00BB44BC"/>
    <w:rPr>
      <w:i/>
      <w:iCs/>
      <w:color w:val="0F4761" w:themeColor="accent1" w:themeShade="BF"/>
    </w:rPr>
  </w:style>
  <w:style w:type="paragraph" w:styleId="IntenseQuote">
    <w:name w:val="Intense Quote"/>
    <w:basedOn w:val="Normal"/>
    <w:next w:val="Normal"/>
    <w:link w:val="IntenseQuoteChar"/>
    <w:uiPriority w:val="30"/>
    <w:qFormat/>
    <w:rsid w:val="00BB44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44BC"/>
    <w:rPr>
      <w:i/>
      <w:iCs/>
      <w:color w:val="0F4761" w:themeColor="accent1" w:themeShade="BF"/>
    </w:rPr>
  </w:style>
  <w:style w:type="character" w:styleId="IntenseReference">
    <w:name w:val="Intense Reference"/>
    <w:basedOn w:val="DefaultParagraphFont"/>
    <w:uiPriority w:val="32"/>
    <w:qFormat/>
    <w:rsid w:val="00BB44BC"/>
    <w:rPr>
      <w:b/>
      <w:bCs/>
      <w:smallCaps/>
      <w:color w:val="0F4761" w:themeColor="accent1" w:themeShade="BF"/>
      <w:spacing w:val="5"/>
    </w:rPr>
  </w:style>
  <w:style w:type="paragraph" w:styleId="FootnoteText">
    <w:name w:val="footnote text"/>
    <w:basedOn w:val="Normal"/>
    <w:link w:val="FootnoteTextChar"/>
    <w:uiPriority w:val="99"/>
    <w:semiHidden/>
    <w:unhideWhenUsed/>
    <w:rsid w:val="00BB44BC"/>
    <w:pPr>
      <w:spacing w:after="0" w:line="240" w:lineRule="auto"/>
    </w:pPr>
    <w:rPr>
      <w:rFonts w:ascii="Times New Roman" w:hAnsi="Times New Roman" w:cs="Times New Roman"/>
      <w:kern w:val="0"/>
      <w:sz w:val="20"/>
      <w:szCs w:val="20"/>
      <w14:ligatures w14:val="none"/>
    </w:rPr>
  </w:style>
  <w:style w:type="character" w:customStyle="1" w:styleId="FootnoteTextChar">
    <w:name w:val="Footnote Text Char"/>
    <w:basedOn w:val="DefaultParagraphFont"/>
    <w:link w:val="FootnoteText"/>
    <w:uiPriority w:val="99"/>
    <w:semiHidden/>
    <w:rsid w:val="00BB44BC"/>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BB44B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4</Pages>
  <Words>2012</Words>
  <Characters>11474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Dalton Salvo</dc:creator>
  <cp:keywords/>
  <dc:description/>
  <cp:lastModifiedBy>Dalton Salvo</cp:lastModifiedBy>
  <cp:revision>1</cp:revision>
  <dcterms:created xsi:type="dcterms:W3CDTF">2026-07-01T23:33:00Z</dcterms:created>
  <dcterms:modified xsi:type="dcterms:W3CDTF">2026-07-02T00:27:00Z</dcterms:modified>
</cp:coreProperties>
</file>