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Predicting convergence in the Stag Hunt and Chicken games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0" w:colFirst="0" w:name="h.x7fdpq84qovp" w:colLast="0"/>
      <w:bookmarkEnd w:id="0"/>
      <w:r w:rsidRPr="00000000" w:rsidR="00000000" w:rsidDel="00000000">
        <w:rPr>
          <w:rtl w:val="0"/>
        </w:rPr>
        <w:t xml:space="preserve">The computations above illustrate Fictitious Plays’ performance in self play in the “Chicken” and “Stag Hunt” games. The prior models for strategies were selected respectively Prow(stag) = 1, Pcol(hare) = 0 and Prow(stag) = 0, Pcol(hare) = 1 and Prow(stag) = 1/2, Pcol(hare) = 1/2 and Prow(stag) = 1/2, Pcol(hare) = 1/2 in the “Chicken” and “Stag Hunt” games respectively. </w:t>
      </w:r>
    </w:p>
    <w:p w:rsidP="00000000" w:rsidRPr="00000000" w:rsidR="00000000" w:rsidDel="00000000" w:rsidRDefault="00000000">
      <w:pPr>
        <w:contextualSpacing w:val="0"/>
        <w:jc w:val="both"/>
      </w:pPr>
      <w:bookmarkStart w:id="1" w:colFirst="0" w:name="h.h42ybuk6qv30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2" w:colFirst="0" w:name="h.jxcz14vi4a76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3" w:colFirst="0" w:name="h.f68acvr1apyo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4" w:colFirst="0" w:name="h.kjenhzbgv40f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5" w:colFirst="0" w:name="h.mfrh8tkb622q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6" w:colFirst="0" w:name="h.jc9fv6jkmvjn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7" w:colFirst="0" w:name="h.6r4ivj66kp6h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8" w:colFirst="0" w:name="h.4gyajwb5tfjg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9" w:colFirst="0" w:name="h.qlof1t7knvl1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10" w:colFirst="0" w:name="h.gjdgxs" w:colLast="0"/>
      <w:bookmarkEnd w:id="10"/>
      <w:r w:rsidRPr="00000000" w:rsidR="00000000" w:rsidDel="00000000">
        <w:rPr>
          <w:rtl w:val="0"/>
        </w:rPr>
        <w:t xml:space="preserve">In fact, all the possible prior models can be organized as follows: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59" w:before="0"/>
        <w:ind w:left="1440" w:hanging="359"/>
        <w:contextualSpacing w:val="1"/>
        <w:jc w:val="both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Probability of playing “stag” is higher than that of playing </w:t>
      </w:r>
      <w:r w:rsidRPr="00000000" w:rsidR="00000000" w:rsidDel="00000000">
        <w:rPr>
          <w:rtl w:val="0"/>
        </w:rPr>
        <w:t xml:space="preserve">“stag” in mixed strategy Nash Equilibrium strategy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59" w:before="0"/>
        <w:ind w:left="1440" w:hanging="359"/>
        <w:contextualSpacing w:val="1"/>
        <w:jc w:val="both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Probability of playing “stag” is equal to </w:t>
      </w:r>
      <w:r w:rsidRPr="00000000" w:rsidR="00000000" w:rsidDel="00000000">
        <w:rPr>
          <w:rtl w:val="0"/>
        </w:rPr>
        <w:t xml:space="preserve">that of playing “stag” in mixed strategy Nash Equilibrium strategy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60" w:line="259" w:before="0"/>
        <w:ind w:left="1440" w:hanging="359"/>
        <w:contextualSpacing w:val="1"/>
        <w:jc w:val="both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Probability of playing “stag” is lower than </w:t>
      </w:r>
      <w:r w:rsidRPr="00000000" w:rsidR="00000000" w:rsidDel="00000000">
        <w:rPr>
          <w:rtl w:val="0"/>
        </w:rPr>
        <w:t xml:space="preserve">that of playing “stag” in mixed strategy Nash Equilibrium strategy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It can be inferred that the selected prior models of strategies in the  “Chicken” game belong to 1-st and 3-rd classes and in the “Stag Hunt” game belong to 2-nd class. Based on the performance of the strategies predictions are that as follows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1-st against itself - will converge to the solution where both Column and Row Players play “stag”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2-nd against itself - depends on the random actions that strategies will play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3-rd against itself - will converge to the solution where both Column and Row Players play “hare”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1-st against 2-nd - depends on the random action that  2-nd will choose and how much 1-st is close to the boundary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1-st against 3-rd - depends on how much are 1-st and 3-rd close to or far from the boundary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2-nd against 3-rd - depends on the random action that 2-nd will choose and how much 3-rd is close to the boundary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homework5.docx</dc:title>
</cp:coreProperties>
</file>