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Status do Projeto</w:t>
      </w:r>
    </w:p>
    <w:p>
      <w:r>
        <w:t>Projeto: Sistema Inteligente de Gerenciamento de Filas Multiambiente (SIGeF‑M)</w:t>
      </w:r>
    </w:p>
    <w:p>
      <w:r>
        <w:t>Data: 07/06/2025    Responsável: Ana Souza (Gerente de Projeto)    Versão: 0.1</w:t>
      </w:r>
    </w:p>
    <w:p>
      <w:pPr>
        <w:pStyle w:val="Heading1"/>
      </w:pPr>
      <w:r>
        <w:t>1. Resumo Executivo</w:t>
      </w:r>
    </w:p>
    <w:p>
      <w:r>
        <w:t>Status Geral: VERDE</w:t>
        <w:br/>
        <w:t>• Planejamento e modelagem estatística concluídos.</w:t>
        <w:br/>
        <w:t>• Protótipo de interface de quiosque finalizado e validado com usuários-teste.</w:t>
        <w:br/>
        <w:t>• Sem desvios de custo ou escopo nesta quinzena.</w:t>
      </w:r>
    </w:p>
    <w:p>
      <w:pPr>
        <w:pStyle w:val="Heading1"/>
      </w:pPr>
      <w:r>
        <w:t>2. Linha do Tempo / Cronograma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Fase</w:t>
            </w:r>
          </w:p>
        </w:tc>
        <w:tc>
          <w:tcPr>
            <w:tcW w:type="dxa" w:w="1728"/>
          </w:tcPr>
          <w:p>
            <w:r>
              <w:t>Início</w:t>
            </w:r>
          </w:p>
        </w:tc>
        <w:tc>
          <w:tcPr>
            <w:tcW w:type="dxa" w:w="1728"/>
          </w:tcPr>
          <w:p>
            <w:r>
              <w:t>Término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%</w:t>
            </w:r>
          </w:p>
        </w:tc>
      </w:tr>
      <w:tr>
        <w:tc>
          <w:tcPr>
            <w:tcW w:type="dxa" w:w="1728"/>
          </w:tcPr>
          <w:p>
            <w:r>
              <w:t>Planejamento &amp; Requisitos</w:t>
            </w:r>
          </w:p>
        </w:tc>
        <w:tc>
          <w:tcPr>
            <w:tcW w:type="dxa" w:w="1728"/>
          </w:tcPr>
          <w:p>
            <w:r>
              <w:t>03/03</w:t>
            </w:r>
          </w:p>
        </w:tc>
        <w:tc>
          <w:tcPr>
            <w:tcW w:type="dxa" w:w="1728"/>
          </w:tcPr>
          <w:p>
            <w:r>
              <w:t>17/03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</w:tr>
      <w:tr>
        <w:tc>
          <w:tcPr>
            <w:tcW w:type="dxa" w:w="1728"/>
          </w:tcPr>
          <w:p>
            <w:r>
              <w:t>Modelagem Estat/PO</w:t>
            </w:r>
          </w:p>
        </w:tc>
        <w:tc>
          <w:tcPr>
            <w:tcW w:type="dxa" w:w="1728"/>
          </w:tcPr>
          <w:p>
            <w:r>
              <w:t>18/03</w:t>
            </w:r>
          </w:p>
        </w:tc>
        <w:tc>
          <w:tcPr>
            <w:tcW w:type="dxa" w:w="1728"/>
          </w:tcPr>
          <w:p>
            <w:r>
              <w:t>12/04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</w:tr>
      <w:tr>
        <w:tc>
          <w:tcPr>
            <w:tcW w:type="dxa" w:w="1728"/>
          </w:tcPr>
          <w:p>
            <w:r>
              <w:t>Design de Rede</w:t>
            </w:r>
          </w:p>
        </w:tc>
        <w:tc>
          <w:tcPr>
            <w:tcW w:type="dxa" w:w="1728"/>
          </w:tcPr>
          <w:p>
            <w:r>
              <w:t>18/03</w:t>
            </w:r>
          </w:p>
        </w:tc>
        <w:tc>
          <w:tcPr>
            <w:tcW w:type="dxa" w:w="1728"/>
          </w:tcPr>
          <w:p>
            <w:r>
              <w:t>12/04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</w:tr>
      <w:tr>
        <w:tc>
          <w:tcPr>
            <w:tcW w:type="dxa" w:w="1728"/>
          </w:tcPr>
          <w:p>
            <w:r>
              <w:t>Sprint de Prototipação</w:t>
            </w:r>
          </w:p>
        </w:tc>
        <w:tc>
          <w:tcPr>
            <w:tcW w:type="dxa" w:w="1728"/>
          </w:tcPr>
          <w:p>
            <w:r>
              <w:t>15/04</w:t>
            </w:r>
          </w:p>
        </w:tc>
        <w:tc>
          <w:tcPr>
            <w:tcW w:type="dxa" w:w="1728"/>
          </w:tcPr>
          <w:p>
            <w:r>
              <w:t>10/05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</w:tr>
      <w:tr>
        <w:tc>
          <w:tcPr>
            <w:tcW w:type="dxa" w:w="1728"/>
          </w:tcPr>
          <w:p>
            <w:r>
              <w:t>Relatórios &amp; Ajustes</w:t>
            </w:r>
          </w:p>
        </w:tc>
        <w:tc>
          <w:tcPr>
            <w:tcW w:type="dxa" w:w="1728"/>
          </w:tcPr>
          <w:p>
            <w:r>
              <w:t>10/05</w:t>
            </w:r>
          </w:p>
        </w:tc>
        <w:tc>
          <w:tcPr>
            <w:tcW w:type="dxa" w:w="1728"/>
          </w:tcPr>
          <w:p>
            <w:r>
              <w:t>20/06</w:t>
            </w:r>
          </w:p>
        </w:tc>
        <w:tc>
          <w:tcPr>
            <w:tcW w:type="dxa" w:w="1728"/>
          </w:tcPr>
          <w:p>
            <w:r>
              <w:t>Em andamento</w:t>
            </w:r>
          </w:p>
        </w:tc>
        <w:tc>
          <w:tcPr>
            <w:tcW w:type="dxa" w:w="1728"/>
          </w:tcPr>
          <w:p>
            <w:r>
              <w:t>60%</w:t>
            </w:r>
          </w:p>
        </w:tc>
      </w:tr>
      <w:tr>
        <w:tc>
          <w:tcPr>
            <w:tcW w:type="dxa" w:w="1728"/>
          </w:tcPr>
          <w:p>
            <w:r>
              <w:t>Validações Estat/PO</w:t>
            </w:r>
          </w:p>
        </w:tc>
        <w:tc>
          <w:tcPr>
            <w:tcW w:type="dxa" w:w="1728"/>
          </w:tcPr>
          <w:p>
            <w:r>
              <w:t>27/05</w:t>
            </w:r>
          </w:p>
        </w:tc>
        <w:tc>
          <w:tcPr>
            <w:tcW w:type="dxa" w:w="1728"/>
          </w:tcPr>
          <w:p>
            <w:r>
              <w:t>21/06</w:t>
            </w:r>
          </w:p>
        </w:tc>
        <w:tc>
          <w:tcPr>
            <w:tcW w:type="dxa" w:w="1728"/>
          </w:tcPr>
          <w:p>
            <w:r>
              <w:t>Em andamento</w:t>
            </w:r>
          </w:p>
        </w:tc>
        <w:tc>
          <w:tcPr>
            <w:tcW w:type="dxa" w:w="1728"/>
          </w:tcPr>
          <w:p>
            <w:r>
              <w:t>40%</w:t>
            </w:r>
          </w:p>
        </w:tc>
      </w:tr>
      <w:tr>
        <w:tc>
          <w:tcPr>
            <w:tcW w:type="dxa" w:w="1728"/>
          </w:tcPr>
          <w:p>
            <w:r>
              <w:t>Infra &amp; Rede WAN</w:t>
            </w:r>
          </w:p>
        </w:tc>
        <w:tc>
          <w:tcPr>
            <w:tcW w:type="dxa" w:w="1728"/>
          </w:tcPr>
          <w:p>
            <w:r>
              <w:t>27/05</w:t>
            </w:r>
          </w:p>
        </w:tc>
        <w:tc>
          <w:tcPr>
            <w:tcW w:type="dxa" w:w="1728"/>
          </w:tcPr>
          <w:p>
            <w:r>
              <w:t>21/06</w:t>
            </w:r>
          </w:p>
        </w:tc>
        <w:tc>
          <w:tcPr>
            <w:tcW w:type="dxa" w:w="1728"/>
          </w:tcPr>
          <w:p>
            <w:r>
              <w:t>Em andamento</w:t>
            </w:r>
          </w:p>
        </w:tc>
        <w:tc>
          <w:tcPr>
            <w:tcW w:type="dxa" w:w="1728"/>
          </w:tcPr>
          <w:p>
            <w:r>
              <w:t>35%</w:t>
            </w:r>
          </w:p>
        </w:tc>
      </w:tr>
      <w:tr>
        <w:tc>
          <w:tcPr>
            <w:tcW w:type="dxa" w:w="1728"/>
          </w:tcPr>
          <w:p>
            <w:r>
              <w:t>Testes Finais &amp; ICs</w:t>
            </w:r>
          </w:p>
        </w:tc>
        <w:tc>
          <w:tcPr>
            <w:tcW w:type="dxa" w:w="1728"/>
          </w:tcPr>
          <w:p>
            <w:r>
              <w:t>22/06</w:t>
            </w:r>
          </w:p>
        </w:tc>
        <w:tc>
          <w:tcPr>
            <w:tcW w:type="dxa" w:w="1728"/>
          </w:tcPr>
          <w:p>
            <w:r>
              <w:t>19/07</w:t>
            </w:r>
          </w:p>
        </w:tc>
        <w:tc>
          <w:tcPr>
            <w:tcW w:type="dxa" w:w="1728"/>
          </w:tcPr>
          <w:p>
            <w:r>
              <w:t>Pendente</w:t>
            </w:r>
          </w:p>
        </w:tc>
        <w:tc>
          <w:tcPr>
            <w:tcW w:type="dxa" w:w="1728"/>
          </w:tcPr>
          <w:p>
            <w:r>
              <w:t>0%</w:t>
            </w:r>
          </w:p>
        </w:tc>
      </w:tr>
      <w:tr>
        <w:tc>
          <w:tcPr>
            <w:tcW w:type="dxa" w:w="1728"/>
          </w:tcPr>
          <w:p>
            <w:r>
              <w:t>Documentação &amp; Apresentação</w:t>
            </w:r>
          </w:p>
        </w:tc>
        <w:tc>
          <w:tcPr>
            <w:tcW w:type="dxa" w:w="1728"/>
          </w:tcPr>
          <w:p>
            <w:r>
              <w:t>20/07</w:t>
            </w:r>
          </w:p>
        </w:tc>
        <w:tc>
          <w:tcPr>
            <w:tcW w:type="dxa" w:w="1728"/>
          </w:tcPr>
          <w:p>
            <w:r>
              <w:t>31/07</w:t>
            </w:r>
          </w:p>
        </w:tc>
        <w:tc>
          <w:tcPr>
            <w:tcW w:type="dxa" w:w="1728"/>
          </w:tcPr>
          <w:p>
            <w:r>
              <w:t>Pendente</w:t>
            </w:r>
          </w:p>
        </w:tc>
        <w:tc>
          <w:tcPr>
            <w:tcW w:type="dxa" w:w="1728"/>
          </w:tcPr>
          <w:p>
            <w:r>
              <w:t>0%</w:t>
            </w:r>
          </w:p>
        </w:tc>
      </w:tr>
    </w:tbl>
    <w:p>
      <w:r>
        <w:t>Nenhum desvio de cronograma &gt; 5 %. Buffer de 1 semana permanece intacto.</w:t>
      </w:r>
    </w:p>
    <w:p>
      <w:pPr>
        <w:pStyle w:val="Heading1"/>
      </w:pPr>
      <w:r>
        <w:t>3. Status de Custos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Orçado</w:t>
            </w:r>
          </w:p>
        </w:tc>
        <w:tc>
          <w:tcPr>
            <w:tcW w:type="dxa" w:w="2160"/>
          </w:tcPr>
          <w:p>
            <w:r>
              <w:t>Real</w:t>
            </w:r>
          </w:p>
        </w:tc>
        <w:tc>
          <w:tcPr>
            <w:tcW w:type="dxa" w:w="2160"/>
          </w:tcPr>
          <w:p>
            <w:r>
              <w:t>Desvio</w:t>
            </w:r>
          </w:p>
        </w:tc>
      </w:tr>
      <w:tr>
        <w:tc>
          <w:tcPr>
            <w:tcW w:type="dxa" w:w="2160"/>
          </w:tcPr>
          <w:p>
            <w:r>
              <w:t>Licenças de Software</w:t>
            </w:r>
          </w:p>
        </w:tc>
        <w:tc>
          <w:tcPr>
            <w:tcW w:type="dxa" w:w="2160"/>
          </w:tcPr>
          <w:p>
            <w:r>
              <w:t>1.500</w:t>
            </w:r>
          </w:p>
        </w:tc>
        <w:tc>
          <w:tcPr>
            <w:tcW w:type="dxa" w:w="2160"/>
          </w:tcPr>
          <w:p>
            <w:r>
              <w:t>1.300</w:t>
            </w:r>
          </w:p>
        </w:tc>
        <w:tc>
          <w:tcPr>
            <w:tcW w:type="dxa" w:w="2160"/>
          </w:tcPr>
          <w:p>
            <w:r>
              <w:t>-200</w:t>
            </w:r>
          </w:p>
        </w:tc>
      </w:tr>
      <w:tr>
        <w:tc>
          <w:tcPr>
            <w:tcW w:type="dxa" w:w="2160"/>
          </w:tcPr>
          <w:p>
            <w:r>
              <w:t>Infraestrutura</w:t>
            </w:r>
          </w:p>
        </w:tc>
        <w:tc>
          <w:tcPr>
            <w:tcW w:type="dxa" w:w="2160"/>
          </w:tcPr>
          <w:p>
            <w:r>
              <w:t>2.000</w:t>
            </w:r>
          </w:p>
        </w:tc>
        <w:tc>
          <w:tcPr>
            <w:tcW w:type="dxa" w:w="2160"/>
          </w:tcPr>
          <w:p>
            <w:r>
              <w:t>2.000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Material Didático</w:t>
            </w:r>
          </w:p>
        </w:tc>
        <w:tc>
          <w:tcPr>
            <w:tcW w:type="dxa" w:w="2160"/>
          </w:tcPr>
          <w:p>
            <w:r>
              <w:t>800</w:t>
            </w:r>
          </w:p>
        </w:tc>
        <w:tc>
          <w:tcPr>
            <w:tcW w:type="dxa" w:w="2160"/>
          </w:tcPr>
          <w:p>
            <w:r>
              <w:t>820</w:t>
            </w:r>
          </w:p>
        </w:tc>
        <w:tc>
          <w:tcPr>
            <w:tcW w:type="dxa" w:w="2160"/>
          </w:tcPr>
          <w:p>
            <w:r>
              <w:t>+20</w:t>
            </w:r>
          </w:p>
        </w:tc>
      </w:tr>
      <w:tr>
        <w:tc>
          <w:tcPr>
            <w:tcW w:type="dxa" w:w="2160"/>
          </w:tcPr>
          <w:p>
            <w:r>
              <w:t>Reserva de Contingência</w:t>
            </w:r>
          </w:p>
        </w:tc>
        <w:tc>
          <w:tcPr>
            <w:tcW w:type="dxa" w:w="2160"/>
          </w:tcPr>
          <w:p>
            <w:r>
              <w:t>430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t>Desvio total: –180 R$ (economia 3,8 %).</w:t>
      </w:r>
    </w:p>
    <w:p>
      <w:pPr>
        <w:pStyle w:val="Heading1"/>
      </w:pPr>
      <w:r>
        <w:t>4. Escopo e Qualidade</w:t>
      </w:r>
    </w:p>
    <w:p>
      <w:r>
        <w:t>Nenhuma alteração de escopo desde o último reporte.</w:t>
        <w:br/>
        <w:t>Qualidade:</w:t>
        <w:br/>
        <w:t>• 25 casos de teste executados na camada de interface – 0 defeitos críticos.</w:t>
        <w:br/>
        <w:t>• Métrica de satisfação de usabilidade SUS preliminar = 82/100 (meta ≥ 80).</w:t>
      </w:r>
    </w:p>
    <w:p>
      <w:pPr>
        <w:pStyle w:val="Heading1"/>
      </w:pPr>
      <w:r>
        <w:t>5. Riscos e Problemas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Risco/Problema</w:t>
            </w:r>
          </w:p>
        </w:tc>
        <w:tc>
          <w:tcPr>
            <w:tcW w:type="dxa" w:w="2160"/>
          </w:tcPr>
          <w:p>
            <w:r>
              <w:t>Prob./Impacto</w:t>
            </w:r>
          </w:p>
        </w:tc>
        <w:tc>
          <w:tcPr>
            <w:tcW w:type="dxa" w:w="2160"/>
          </w:tcPr>
          <w:p>
            <w:r>
              <w:t>Ação</w:t>
            </w:r>
          </w:p>
        </w:tc>
        <w:tc>
          <w:tcPr>
            <w:tcW w:type="dxa" w:w="2160"/>
          </w:tcPr>
          <w:p>
            <w:r>
              <w:t>Responsável</w:t>
            </w:r>
          </w:p>
        </w:tc>
      </w:tr>
      <w:tr>
        <w:tc>
          <w:tcPr>
            <w:tcW w:type="dxa" w:w="2160"/>
          </w:tcPr>
          <w:p>
            <w:r>
              <w:t>Turnover de membro‑chave</w:t>
            </w:r>
          </w:p>
        </w:tc>
        <w:tc>
          <w:tcPr>
            <w:tcW w:type="dxa" w:w="2160"/>
          </w:tcPr>
          <w:p>
            <w:r>
              <w:t>M/M</w:t>
            </w:r>
          </w:p>
        </w:tc>
        <w:tc>
          <w:tcPr>
            <w:tcW w:type="dxa" w:w="2160"/>
          </w:tcPr>
          <w:p>
            <w:r>
              <w:t>Documentação + backup</w:t>
            </w:r>
          </w:p>
        </w:tc>
        <w:tc>
          <w:tcPr>
            <w:tcW w:type="dxa" w:w="2160"/>
          </w:tcPr>
          <w:p>
            <w:r>
              <w:t>GP</w:t>
            </w:r>
          </w:p>
        </w:tc>
      </w:tr>
      <w:tr>
        <w:tc>
          <w:tcPr>
            <w:tcW w:type="dxa" w:w="2160"/>
          </w:tcPr>
          <w:p>
            <w:r>
              <w:t>Atraso na WAN devido a laboratório indisponível</w:t>
            </w:r>
          </w:p>
        </w:tc>
        <w:tc>
          <w:tcPr>
            <w:tcW w:type="dxa" w:w="2160"/>
          </w:tcPr>
          <w:p>
            <w:r>
              <w:t>Baixa/Médio</w:t>
            </w:r>
          </w:p>
        </w:tc>
        <w:tc>
          <w:tcPr>
            <w:tcW w:type="dxa" w:w="2160"/>
          </w:tcPr>
          <w:p>
            <w:r>
              <w:t>Reserva de slots extras</w:t>
            </w:r>
          </w:p>
        </w:tc>
        <w:tc>
          <w:tcPr>
            <w:tcW w:type="dxa" w:w="2160"/>
          </w:tcPr>
          <w:p>
            <w:r>
              <w:t>Líder Redes</w:t>
            </w:r>
          </w:p>
        </w:tc>
      </w:tr>
    </w:tbl>
    <w:p>
      <w:pPr>
        <w:pStyle w:val="Heading1"/>
      </w:pPr>
      <w:r>
        <w:t>6. Próximas Etapas</w:t>
      </w:r>
    </w:p>
    <w:p>
      <w:r>
        <w:t>• Concluir validações estatísticas (até 21/06).</w:t>
        <w:br/>
        <w:t>• Finalizar configuração da rede WAN simulada (até 21/06).</w:t>
        <w:br/>
        <w:t>• Iniciar testes integrados end‑to‑end (a partir de 22/06).</w:t>
        <w:br/>
        <w:t>• Atualizar documentação técnica e gravar vídeo demo para revisão.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