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Sapiens Agency Source Drop — Analysis &amp; Onboarding Plan</w:t>
      </w:r>
    </w:p>
    <w:p>
      <w:r>
        <w:t xml:space="preserve">IBM i task library: </w:t>
      </w:r>
      <w:r>
        <w:rPr>
          <w:b/>
          <w:bCs/>
        </w:rPr>
        <w:t xml:space="preserve">AITSK00030</w:t>
      </w:r>
    </w:p>
    <w:p>
      <w:pPr>
        <w:pStyle w:val="Heading2"/>
      </w:pPr>
      <w:r>
        <w:t xml:space="preserve">1. What was done</w:t>
      </w:r>
    </w:p>
    <w:p>
      <w:pPr>
        <w:pStyle w:val="ListParagraph"/>
        <w:numPr>
          <w:ilvl w:val="0"/>
          <w:numId w:val="2"/>
        </w:numPr>
      </w:pPr>
      <w:r>
        <w:t xml:space="preserve">Created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/workspace/ibmi-agentic/src/Sapiens/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Unpacked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agencysrc.zip</w:t>
      </w:r>
      <w:r>
        <w:t xml:space="preserve"> (57 source members) into that folder.</w:t>
      </w:r>
    </w:p>
    <w:p>
      <w:pPr>
        <w:pStyle w:val="ListParagraph"/>
        <w:numPr>
          <w:ilvl w:val="0"/>
          <w:numId w:val="2"/>
        </w:numPr>
      </w:pPr>
      <w:r>
        <w:t xml:space="preserve">Copied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Agency Info updated.docx</w:t>
      </w:r>
      <w:r>
        <w:t xml:space="preserve"> alongside the source as the project's reference document.</w:t>
      </w:r>
    </w:p>
    <w:p>
      <w:pPr>
        <w:pStyle w:val="ListParagraph"/>
        <w:numPr>
          <w:ilvl w:val="0"/>
          <w:numId w:val="2"/>
        </w:numPr>
      </w:pPr>
      <w:r>
        <w:t xml:space="preserve">Read every RPGLE / DDS source and the Word doc, then cross-referenced every F-spec,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, and external program call against the files actually present in the drop and elsewhere in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/workspace/ibmi-agentic</w:t>
      </w:r>
      <w:r>
        <w:t xml:space="preserve">.</w:t>
      </w:r>
    </w:p>
    <w:p>
      <w:r>
        <w:t xml:space="preserve">No source was modified. No build was attempted — every interactive program in this drop depends on database PFs/LFs that are </w:t>
      </w:r>
      <w:r>
        <w:rPr>
          <w:b/>
          <w:bCs/>
        </w:rPr>
        <w:t xml:space="preserve">not</w:t>
      </w:r>
      <w:r>
        <w:t xml:space="preserve"> in the repository (see §6).</w:t>
      </w:r>
    </w:p>
    <w:p>
      <w:pPr>
        <w:pStyle w:val="Heading2"/>
      </w:pPr>
      <w:r>
        <w:t xml:space="preserve">2. What this code is</w:t>
      </w:r>
    </w:p>
    <w:p>
      <w:r>
        <w:t xml:space="preserve">This is a Profound UI-enabled subset of the </w:t>
      </w:r>
      <w:r>
        <w:rPr>
          <w:b/>
          <w:bCs/>
        </w:rPr>
        <w:t xml:space="preserve">Sapiens "Agentic" / agency-management</w:t>
      </w:r>
      <w:r>
        <w:t xml:space="preserve"> application (built originally on top of the StoneRiver / Sapiens insurance platform, library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</w:t>
      </w:r>
      <w:r>
        <w:t xml:space="preserve">, with some pieces inherited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V6R0QA</w:t>
      </w:r>
      <w:r>
        <w:t xml:space="preserve">). The drop is the </w:t>
      </w:r>
      <w:r>
        <w:rPr>
          <w:b/>
          <w:bCs/>
        </w:rPr>
        <w:t xml:space="preserve">Agency module</w:t>
      </w:r>
      <w:r>
        <w:t xml:space="preserve"> — it lets a user maintain insurance Agencies, their Producers, Contacts, Group/Carrier assignments, EFT bank info, Service-Request / visit tracking, Return-Premium check requests, and Connect portal templates.</w:t>
      </w:r>
    </w:p>
    <w:p>
      <w:r>
        <w:t xml:space="preserve">There are </w:t>
      </w:r>
      <w:r>
        <w:rPr>
          <w:b/>
          <w:bCs/>
        </w:rPr>
        <w:t xml:space="preserve">9 interactive 5250 driver programs</w:t>
      </w:r>
      <w:r>
        <w:t xml:space="preserve"> (all declared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handler('PROFOUNDUI(HANDLER)')</w:t>
      </w:r>
      <w:r>
        <w:t xml:space="preserve">) plus their DDS, and </w:t>
      </w:r>
      <w:r>
        <w:rPr>
          <w:b/>
          <w:bCs/>
        </w:rPr>
        <w:t xml:space="preserve">38 RPGLE prototype copybooks / DS members</w:t>
      </w:r>
      <w:r>
        <w:t xml:space="preserve"> that are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-included into the drivers. Implementation of the procedures behind those prototypes is </w:t>
      </w:r>
      <w:r>
        <w:rPr>
          <w:b/>
          <w:bCs/>
        </w:rPr>
        <w:t xml:space="preserve">pre-compiled into two binding directories —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STBNDDIR</w:t>
      </w:r>
      <w:r>
        <w:rPr>
          <w:b/>
          <w:bCs/>
        </w:rPr>
        <w:t xml:space="preserve"> and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WTGRPCFG</w:t>
      </w:r>
      <w:r>
        <w:t xml:space="preserve"> — which exist on the target IBM i and are not shipped as source here.</w:t>
      </w:r>
    </w:p>
    <w:p>
      <w:r>
        <w:t xml:space="preserve">All programs share a </w:t>
      </w:r>
      <w:r>
        <w:rPr>
          <w:b/>
          <w:bCs/>
        </w:rPr>
        <w:t xml:space="preserve">uniform 4-parameter entry signature</w:t>
      </w:r>
      <w:r>
        <w:t xml:space="preserve">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@@rrn      9a    Relative record number into WMAGP (Agency Master)</w:t>
      </w:r>
      <w:r>
        <w:br/>
        <w:t xml:space="preserve"/>
      </w:r>
      <w:r>
        <w:rPr>
          <w:color w:val="24292e"/>
        </w:rPr>
        <w:t xml:space="preserve">@@mode     1a    'A'=Add  'C'=Change  'D'=Display  ' '=initial select</w:t>
      </w:r>
      <w:r>
        <w:br/>
        <w:t xml:space="preserve"/>
      </w:r>
      <w:r>
        <w:rPr>
          <w:color w:val="24292e"/>
        </w:rPr>
        <w:t xml:space="preserve">@@next    10a    Next-program name (for tab navigation; e.g. 'GetAgency')</w:t>
      </w:r>
      <w:r>
        <w:br/>
        <w:t xml:space="preserve"/>
      </w:r>
      <w:r>
        <w:rPr>
          <w:color w:val="24292e"/>
        </w:rPr>
        <w:t xml:space="preserve">@@TabInd   5a    Tab index — which tab to show on entry</w:t>
      </w:r>
    </w:p>
    <w:p>
      <w:r>
        <w:t xml:space="preserve">The Word doc maps this directly to the </w:t>
      </w:r>
      <w:r>
        <w:rPr>
          <w:b/>
          <w:bCs/>
        </w:rPr>
        <w:t xml:space="preserve">Profound UI launcher URL</w:t>
      </w:r>
      <w:r>
        <w:t xml:space="preserve"> pattern: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200" w:right="200"/>
      </w:pPr>
      <w:r>
        <w:rPr>
          <w:color w:val="24292e"/>
        </w:rPr>
        <w:t xml:space="preserve">/profoundui/auth/start?pgm=PDSOBJ099/STLAUNCH</w:t>
      </w:r>
      <w:r>
        <w:br/>
        <w:t xml:space="preserve"/>
      </w:r>
      <w:r>
        <w:rPr>
          <w:color w:val="24292e"/>
        </w:rPr>
        <w:t xml:space="preserve">   &amp;p1=WTAGTCFG &amp;l1=10</w:t>
      </w:r>
      <w:r>
        <w:br/>
        <w:t xml:space="preserve"/>
      </w:r>
      <w:r>
        <w:rPr>
          <w:color w:val="24292e"/>
        </w:rPr>
        <w:t xml:space="preserve">   &amp;p2=LIV       &amp;l2=3         ← @@mode (' ','D' etc.)</w:t>
      </w:r>
      <w:r>
        <w:br/>
        <w:t xml:space="preserve"/>
      </w:r>
      <w:r>
        <w:rPr>
          <w:color w:val="24292e"/>
        </w:rPr>
        <w:t xml:space="preserve">   &amp;p3=(' ' ' ' ' ' ' ' ' ' ' ' ' ' ' ' ' ' ' ' ' ' ' ')*End &amp;l3=53</w:t>
      </w:r>
    </w:p>
    <w:p>
      <w:r>
        <w:t xml:space="preserve">So STLAUNCH is the gateway — it takes a program name plus a list of (value, length) tuples, then calls the named program with those parms. That is what the menu URL in the Word doc encodes.</w:t>
      </w:r>
    </w:p>
    <w:p>
      <w:pPr>
        <w:pStyle w:val="Heading2"/>
      </w:pPr>
      <w:r>
        <w:t xml:space="preserve">3. Interactive program inventory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Program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Display Files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Purpose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Entry parms (besides @@rrn/@@mode)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Configuration — the "header" for everything else. Master record + carrier grid + iDARTS link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@@next, @@TabInd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WTAGTPRI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WTAGTPRI</w:t>
            </w:r>
            <w:r>
              <w:t xml:space="preserve"> (DDS only)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Information menu (Edit/Display). Per source comments WTAGTPRI's RPGLE was folded into WTAGTCFG; the DDS remains as a tabbed panel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WTAGTASN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Group Assignment — agent↔group, EFT, Quote Tracking, Payment Info (4 tabs, 3 subfiles)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WTAGTPROD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WTAGTPROD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Producer master + non-resident state licenses + producer criteria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WTAGTCON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WTAGTCON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contacts + distribution types + contact-type lookup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WTAGTSRVRT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WTAGTSRVRT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Service-Request front end — thin wrapper that delegates to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WTVSTTRK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WTAGTRTFND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WTAGTRTFND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Return-Funds checks + AR detail + Account-Current summary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WTVSTTRK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WTVSTTRK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Visit-Tracking grid (used by SRVRT and stand-alone). Huge — 14k-line DDS, embedded claim/policy search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distinct: @@rrn, @@mode, @@Category, @@Assign, @@VstFrDt, @@VstToDt, @@isTeam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</w:rPr>
              <w:t xml:space="preserve">WITMPLT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WITMPLT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STACTPNL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Connect / Portal Template associations. Entire program gated on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IsModEnabled('Portal Module')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passes a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dsWITMPLTparms</w:t>
            </w:r>
            <w:r>
              <w:t xml:space="preserve"> data structure</w:t>
            </w:r>
          </w:p>
        </w:tc>
      </w:tr>
    </w:tbl>
    <w:p>
      <w:pPr>
        <w:pStyle w:val="Heading2"/>
      </w:pPr>
      <w:r>
        <w:t xml:space="preserve">4. Copybook / utility module inventory</w:t>
      </w:r>
    </w:p>
    <w:p>
      <w:r>
        <w:t xml:space="preserve">All 38 utility members are </w:t>
      </w:r>
      <w:r>
        <w:rPr>
          <w:b/>
          <w:bCs/>
        </w:rPr>
        <w:t xml:space="preserve">prototype-only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 modules — they declare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PR</w:t>
      </w:r>
      <w:r>
        <w:t xml:space="preserve"> prototypes whose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EXTPROC</w:t>
      </w:r>
      <w:r>
        <w:t xml:space="preserve">/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EXPORT</w:t>
      </w:r>
      <w:r>
        <w:t xml:space="preserve"> implementations are bound at compile time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STBNDDIR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WTGRPCFG</w:t>
      </w:r>
      <w:r>
        <w:t xml:space="preserve">. Notable groups: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SPR*</w:t>
      </w:r>
      <w:r>
        <w:rPr>
          <w:b/>
          <w:bCs/>
        </w:rPr>
        <w:t xml:space="preserve"> (Sapiens generic)</w:t>
      </w:r>
      <w:r>
        <w:t xml:space="preserve"> — date, string, SQL, message, module, mask, table, trigger, atrium, company, runcmd, retrieve-brand, code generation. Cross-app utilities.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WPR*</w:t>
      </w:r>
      <w:r>
        <w:rPr>
          <w:b/>
          <w:bCs/>
        </w:rPr>
        <w:t xml:space="preserve"> (W-/agency specific)</w:t>
      </w:r>
      <w:r>
        <w:t xml:space="preserve"> — agent, group, EFT, employer, claims, policy-error, user-parms, table.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SCOPY*</w:t>
      </w:r>
      <w:r>
        <w:t xml:space="preserve"> — action-panel prototypes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SCOPYCOMPI</w:t>
      </w:r>
      <w:r>
        <w:t xml:space="preserve">/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SCOPYCOMPR</w:t>
      </w:r>
      <w:r>
        <w:t xml:space="preserve">) and group-action-panel prototypes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SCOPYGRPPR</w:t>
      </w:r>
      <w:r>
        <w:t xml:space="preserve">), plus the binary compression API.</w:t>
      </w:r>
    </w:p>
    <w:p>
      <w:pPr>
        <w:pStyle w:val="ListParagraph"/>
        <w:pStyle w:val="ListParagraph"/>
        <w:numPr>
          <w:ilvl w:val="0"/>
          <w:numId w:val="1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WT*</w:t>
      </w:r>
      <w:r>
        <w:rPr>
          <w:b/>
          <w:bCs/>
        </w:rPr>
        <w:t xml:space="preserve"> DS-only members</w:t>
      </w:r>
      <w:r>
        <w:t xml:space="preserve"> —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wtSearchDs</w:t>
      </w:r>
      <w:r>
        <w:t xml:space="preserve"> (search criteria DS),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wtVstTrkSD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wtVstTrkSP</w:t>
      </w:r>
      <w:r>
        <w:t xml:space="preserve"> (visit-tracking shared definitions),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witmpltd</w:t>
      </w:r>
      <w:r>
        <w:t xml:space="preserve"> (template parm DS + extpgm proto for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WITMPLT</w:t>
      </w:r>
      <w:r>
        <w:t xml:space="preserve">).</w:t>
      </w:r>
    </w:p>
    <w:p>
      <w:r>
        <w:t xml:space="preserve">Every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 target referenced by the 9 driver programs is present in this drop — see §6 for confirmation.</w:t>
      </w:r>
    </w:p>
    <w:p>
      <w:pPr>
        <w:pStyle w:val="Heading2"/>
      </w:pPr>
      <w:r>
        <w:t xml:space="preserve">5. Architecture &amp; program flow</w:t>
      </w:r>
    </w:p>
    <w:p>
      <w:pPr>
        <w:pStyle w:val="Heading3"/>
      </w:pPr>
      <w:r>
        <w:t xml:space="preserve">5.1 Module map (drivers → key data → external pgms)</w:t>
      </w:r>
    </w:p>
    <w:p>
      <w:pPr>
        <w:spacing w:before="240" w:after="240"/>
        <w:jc w:val="center"/>
      </w:pPr>
      <w:r>
        <w:drawing>
          <wp:inline distT="0" distB="0" distL="0" distR="0">
            <wp:extent cx="2857500" cy="8686800"/>
            <wp:effectExtent t="0" r="0" b="0" l="0"/>
            <wp:docPr id="1" name="mermaid-image" descr="mermaid image" title="mermai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5.2 Typical driver runtime sequence (all programs follow this shape)</w:t>
      </w:r>
    </w:p>
    <w:p>
      <w:pPr>
        <w:spacing w:before="240" w:after="240"/>
        <w:jc w:val="center"/>
      </w:pPr>
      <w:r>
        <w:drawing>
          <wp:inline distT="0" distB="0" distL="0" distR="0">
            <wp:extent cx="5486400" cy="2971800"/>
            <wp:effectExtent t="0" r="0" b="0" l="0"/>
            <wp:docPr id="1" name="mermaid-image" descr="mermaid image" title="mermai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5.3 Dependency map — drivers → /COPY targets</w:t>
      </w:r>
    </w:p>
    <w:p>
      <w:pPr>
        <w:spacing w:before="240" w:after="240"/>
        <w:jc w:val="center"/>
      </w:pPr>
      <w:r>
        <w:drawing>
          <wp:inline distT="0" distB="0" distL="0" distR="0">
            <wp:extent cx="962025" cy="8686800"/>
            <wp:effectExtent t="0" r="0" b="0" l="0"/>
            <wp:docPr id="1" name="mermaid-image" descr="mermaid image" title="mermai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All 38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 targets resolve to files in the drop. ✅</w:t>
      </w:r>
    </w:p>
    <w:p>
      <w:pPr>
        <w:pStyle w:val="Heading2"/>
      </w:pPr>
      <w:r>
        <w:t xml:space="preserve">6. Missing dependencies — what you need to bring across</w:t>
      </w:r>
    </w:p>
    <w:p>
      <w:pPr>
        <w:pStyle w:val="Heading3"/>
      </w:pPr>
      <w:r>
        <w:t xml:space="preserve">6.1 Database PFs / LFs (NONE are in the drop)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Object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Used by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WMAGP / WMAGL / WMAGL1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CFG, ASN, PRD, CON, SRV, RTF, 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Master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WMAAP / WMAAL / WMAAL1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CFG, ASN, 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Assignments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WMAPP / WMAPL / WMAPPCRT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PRD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Producers + criteria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WMPSP / WMPSL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PRD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Producer non-resident state info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WMA5P / WMA5L / WMA5PCRT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Contacts + criteria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WMAHP / WMAHL / WMAHL3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ASN, 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History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WMEFP / WMEFL2 / WMEFL7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EFT Account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WAQTP / WAQTL8 / WAQTL9 / WAQTL12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Agent Quotes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WTQSP / WTQSL1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Quote Tracking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WMNBP / WMNBL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New Business/Renewal Tracking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WMSHP / WMSHLQ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NCCI Submission History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WMFNP / WMFNL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Group/Fund Master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WDELP / WDELL / WDELLQ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ASN, 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Employer Detail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WMVIP / WMVIL1..7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Visit Tracking Detail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WTVIP / WTVIL / WTVIPCFG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Visit Tracking setup + config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WMEML / WMRPL / WMALL / WMAEL / WMCMP / WMCML / WMCDL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Employer/role/agent/claim refs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WAR4P / WAR4L6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Return Premium Check Request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WMEAP / WMEAL31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Employer AR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WSASP / WSASL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Account Current Summary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WDABP / WDABL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Agency Billing Detail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WITMP / WITAP / WITCP / WITMPQST / WIQUP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TMP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Portal Template &amp; Questions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SMCOP / SMCOL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all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Company Master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SMUPP / SMUPL / SMUPL1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all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User Parameters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STCNP / STCNL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Contact Type lookup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STDSP / STDSL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Distribution Types lookup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WMCZP / WMCZL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Zip-to-County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WDF2P / WDF2L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CFG, ASN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Group Auxiliary (carrier list)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STABL / WTABL / WTAGL / WTGTL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VST, PRD, 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Generic system / lookup tables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SDACP / SDACL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Application Config table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SSYLF / SZYLF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ASN, 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System Control</w:t>
            </w:r>
          </w:p>
        </w:tc>
      </w:tr>
    </w:tbl>
    <w:p>
      <w:pPr>
        <w:pStyle w:val="Heading3"/>
      </w:pPr>
      <w:r>
        <w:t xml:space="preserve">6.2 External programs (referenced via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EXTPGM</w:t>
      </w:r>
      <w:r>
        <w:t xml:space="preserve">, NOT in the drop)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Program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Caller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W4020R</w:t>
            </w:r>
            <w:r>
              <w:t xml:space="preserve"> (alias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WTAGTFEIN</w:t>
            </w:r>
            <w:r>
              <w:t xml:space="preserve">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Change FEIN dialog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RTVCLTID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CFG, SRV, VST, others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Returns 10-char client ID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SRCHKPGM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CFG, VST, TMP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Search call stack for caller name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STRTVDTA</w:t>
            </w:r>
            <w:r>
              <w:t xml:space="preserve"> /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STWRTDTA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Read/write secured (encrypted) user/pwd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WA002R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RTF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Get agent name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WTSEARCH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Claim search popup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TIMEDELAY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Sleep utility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QCMDEXC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Run CL string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WTPOPUP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VST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Generic popup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SRCCSC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SRNAME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STFILETRG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RTVBRND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W0040R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misc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Misc helpers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WITMPLT</w:t>
            </w:r>
            <w:r>
              <w:t xml:space="preserve"> (cross-call)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external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TMP calls itself via prototype in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witmpltd</w:t>
            </w:r>
          </w:p>
        </w:tc>
      </w:tr>
    </w:tbl>
    <w:p>
      <w:pPr>
        <w:pStyle w:val="Heading3"/>
      </w:pPr>
      <w:r>
        <w:t xml:space="preserve">6.3 Shared action-panel DDS</w:t>
      </w:r>
    </w:p>
    <w:p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</w:t>
      </w:r>
      <w:r>
        <w:t xml:space="preserve"> (used by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WITMPLT</w:t>
      </w:r>
      <w:r>
        <w:t xml:space="preserve">)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WTACTPNL</w:t>
      </w:r>
      <w:r>
        <w:t xml:space="preserve"> (used by everyone else) are </w:t>
      </w:r>
      <w:r>
        <w:rPr>
          <w:b/>
          <w:bCs/>
        </w:rPr>
        <w:t xml:space="preserve">NOT in this drop</w:t>
      </w:r>
      <w:r>
        <w:t xml:space="preserve">. They are the shared action-bar / window panels — typically a tiny DDS file with a single record format showing function-key prompts. Without them, </w:t>
      </w:r>
      <w:r>
        <w:rPr>
          <w:b/>
          <w:bCs/>
        </w:rPr>
        <w:t xml:space="preserve">nothing compiles</w:t>
      </w:r>
      <w:r>
        <w:t xml:space="preserve">.</w:t>
      </w:r>
    </w:p>
    <w:p>
      <w:pPr>
        <w:pStyle w:val="Heading3"/>
      </w:pPr>
      <w:r>
        <w:t xml:space="preserve">6.4 Binding directories</w:t>
      </w:r>
    </w:p>
    <w:p>
      <w:r>
        <w:rPr>
          <w:rFonts w:ascii="Consolas" w:eastAsia="FangSong" w:hAnsi="Consolas" w:cs="Consolas"/>
          <w:sz w:val="20"/>
          <w:szCs w:val="20"/>
          <w:shd w:fill="f5f5f5"/>
        </w:rPr>
        <w:t xml:space="preserve">STBNDDIR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WTGRPCFG</w:t>
      </w:r>
      <w:r>
        <w:t xml:space="preserve"> — neither has source here. These contain the </w:t>
      </w:r>
      <w:r>
        <w:rPr>
          <w:i/>
          <w:iCs/>
        </w:rPr>
        <w:t xml:space="preserve">implementations</w:t>
      </w:r>
      <w:r>
        <w:t xml:space="preserve"> of every prototype in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SPR*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WPR*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SCOPY*</w:t>
      </w:r>
      <w:r>
        <w:t xml:space="preserve"> /COPY members (date math, SQL helpers, message dispatch, atrium integration, etc.). They must exist in the build library list at compile time.</w:t>
      </w:r>
    </w:p>
    <w:p>
      <w:pPr>
        <w:pStyle w:val="Heading3"/>
      </w:pPr>
      <w:r>
        <w:t xml:space="preserve">6.5 Profound UI runtime</w:t>
      </w:r>
    </w:p>
    <w:p>
      <w:r>
        <w:t xml:space="preserve">Every driver is hard-coded to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handler('PROFOUNDUI(HANDLER)')</w:t>
      </w:r>
      <w:r>
        <w:t xml:space="preserve">. This requires: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Profound UI installed on the IBM i (a Profound Logic product — the user's domain, so already available in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gjones@profoundlogic.com</w:t>
      </w:r>
      <w:r>
        <w:t xml:space="preserve">'s environment).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The compiled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.pgm</w:t>
      </w:r>
      <w:r>
        <w:t xml:space="preserve"> and its display file made known to Profound UI's launcher.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STLAUNCH</w:t>
      </w:r>
      <w:r>
        <w:t xml:space="preserve"> program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PDSOBJ099/STLAUNCH</w:t>
      </w:r>
      <w:r>
        <w:t xml:space="preserve">) — the URL-to-PARM dispatcher quoted in the Word doc.</w:t>
      </w:r>
    </w:p>
    <w:p>
      <w:pPr>
        <w:pStyle w:val="Heading3"/>
      </w:pPr>
      <w:r>
        <w:t xml:space="preserve">6.6 Summary of what's present vs missing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Category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Total references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Present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Driver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.rpgle</w:t>
            </w:r>
            <w:r>
              <w:t xml:space="preserve"> programs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9 (one is DDS-only)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8 RPGLE + 9 DDS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/COPY</w:t>
            </w:r>
            <w:r>
              <w:t xml:space="preserve"> copybook members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38 distinct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38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DDS display files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11 referenced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9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2 (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STACTPNL</w:t>
            </w:r>
            <w:r>
              <w:t xml:space="preserve">,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WTACTPNL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Database PF/LF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~50+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~50+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External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EXTPGM</w:t>
            </w:r>
            <w:r>
              <w:t xml:space="preserve"> pgms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16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0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16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Binding directories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0 (source not shipped)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  <w:jc w:val="right"/>
            </w:pPr>
            <w:r>
              <w:t xml:space="preserve">2</w:t>
            </w:r>
          </w:p>
        </w:tc>
      </w:tr>
    </w:tbl>
    <w:p>
      <w:pPr>
        <w:pStyle w:val="Heading2"/>
      </w:pPr>
      <w:r>
        <w:t xml:space="preserve">7. Insights — what I think we are looking at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 is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a runnable 5250 app in the traditional sense.</w:t>
      </w:r>
      <w:r>
        <w:t xml:space="preserve"> Every driver explicitly attaches the Profound UI handler. The DDS files are written to be rendered by Profound UI (you'll see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onload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onchange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onrowclick</w:t>
      </w:r>
      <w:r>
        <w:t xml:space="preserve">, modal windows, hyperlinks, multi-select dropdowns in the DDS). Removing the handler and running green-screen will compile but won't </w:t>
      </w:r>
      <w:r>
        <w:rPr>
          <w:i/>
          <w:iCs/>
        </w:rPr>
        <w:t xml:space="preserve">function</w:t>
      </w:r>
      <w:r>
        <w:t xml:space="preserve"> fully — the JavaScript-driven cascades (state→county, distribution-types multiselect, "Activate/Inactivate" hyperlinks) are baked into the DDS.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drop is a "module slice", not a system.</w:t>
      </w:r>
      <w:r>
        <w:t xml:space="preserve"> It's the front-end programs and their UI definitions plus the prototype copybooks. The runtime is split into three layers we don't have: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data layer</w:t>
      </w:r>
      <w:r>
        <w:t xml:space="preserve"> (~50 PF/LF on the IBM i, library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</w:t>
      </w:r>
      <w:r>
        <w:t xml:space="preserve"> or its data twin),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service layer</w:t>
      </w:r>
      <w:r>
        <w:t xml:space="preserve"> (the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STBNDDIR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WTGRPCFG</w:t>
      </w:r>
      <w:r>
        <w:t xml:space="preserve"> binding directories, plus ~16 utility programs like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RTVCLTID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SRCHKPGM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STRTVDTA</w:t>
      </w:r>
      <w:r>
        <w:t xml:space="preserve">),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and the </w:t>
      </w:r>
      <w:r>
        <w:rPr>
          <w:b/>
          <w:bCs/>
        </w:rPr>
        <w:t xml:space="preserve">launcher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PDSOBJ099/STLAUNCH</w:t>
      </w:r>
      <w:r>
        <w:t xml:space="preserve"> + a Profound UI install).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 is recently maintained.</w:t>
      </w:r>
      <w:r>
        <w:t xml:space="preserve"> Every program carries dated revision blocks running from 2014 → November 2025 (e.g. WTAGTCFG: "11/28/25 — Agent Activity Report Error"; WTAGTCON: "04/11/24 — STDSL lookup"; WTAGTPROD: "08/28/23 — Activate/Inactivate hyperlinks"). This is live, supported code, not an archive.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Word doc is, in effect, a deployment runbook.</w:t>
      </w:r>
      <w:r>
        <w:t xml:space="preserve"> It already gives you: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STLAUNCH URL</w:t>
      </w:r>
      <w:r>
        <w:t xml:space="preserve"> for each program in edit and display mode,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library each DDS came from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V26PNSRC/QDDSSRC</w:t>
      </w:r>
      <w:r>
        <w:t xml:space="preserve"> vs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V6R0QA/QDDSSRC</w:t>
      </w:r>
      <w:r>
        <w:t xml:space="preserve">),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complete F-spec database file list per tab</w:t>
      </w:r>
      <w:r>
        <w:t xml:space="preserve"> of each driver,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 xml:space="preserve">complete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/COPY</w:t>
      </w:r>
      <w:r>
        <w:rPr>
          <w:b/>
          <w:bCs/>
        </w:rPr>
        <w:t xml:space="preserve"> list per program</w:t>
      </w:r>
      <w:r>
        <w:t xml:space="preserve"> (also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V26PNSRC/QRPGLESRC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This is exactly what you would need to author a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Rules.mk</w:t>
      </w:r>
      <w:r>
        <w:t xml:space="preserve"> and a binding-directory manifest.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naming convention is informative.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WTAGT*</w:t>
      </w:r>
      <w:r>
        <w:t xml:space="preserve"> = Profound-UI front end ("WT" = Workers'-Comp / agency tracking; "AGT" = agent).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WT*TRK</w:t>
      </w:r>
      <w:r>
        <w:t xml:space="preserve"> = tracking system;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VST</w:t>
      </w:r>
      <w:r>
        <w:t xml:space="preserve"> = visit.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WI*</w:t>
      </w:r>
      <w:r>
        <w:t xml:space="preserve"> = "Insurance" / Connect portal.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WMxxP/L</w:t>
      </w:r>
      <w:r>
        <w:t xml:space="preserve"> = master files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</w:t>
      </w:r>
      <w:r>
        <w:t xml:space="preserve">=workers'-comp master, last two letters = entity: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AG</w:t>
      </w:r>
      <w:r>
        <w:t xml:space="preserve">=agency,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AA</w:t>
      </w:r>
      <w:r>
        <w:t xml:space="preserve">=assignment,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AP</w:t>
      </w:r>
      <w:r>
        <w:t xml:space="preserve">=producer,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A5</w:t>
      </w:r>
      <w:r>
        <w:t xml:space="preserve">=contact,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EF</w:t>
      </w:r>
      <w:r>
        <w:t xml:space="preserve">=eft,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NB</w:t>
      </w:r>
      <w:r>
        <w:t xml:space="preserve">=new-business,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AH</w:t>
      </w:r>
      <w:r>
        <w:t xml:space="preserve">=history,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FN</w:t>
      </w:r>
      <w:r>
        <w:t xml:space="preserve">=fund,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VI</w:t>
      </w:r>
      <w:r>
        <w:t xml:space="preserve">=visit,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R4</w:t>
      </w:r>
      <w:r>
        <w:t xml:space="preserve">=ret-fund,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EA</w:t>
      </w:r>
      <w:r>
        <w:t xml:space="preserve">=emp-AR).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SMxxP/L</w:t>
      </w:r>
      <w:r>
        <w:t xml:space="preserve"> = system master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CO</w:t>
      </w:r>
      <w:r>
        <w:t xml:space="preserve">=company,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UP</w:t>
      </w:r>
      <w:r>
        <w:t xml:space="preserve">=user-parm).</w:t>
      </w:r>
    </w:p>
    <w:p>
      <w:pPr>
        <w:pStyle w:val="ListParagraph"/>
        <w:pStyle w:val="ListParagraph"/>
        <w:numPr>
          <w:ilvl w:val="1"/>
          <w:numId w:val="1"/>
        </w:numPr>
      </w:pPr>
      <w:r>
        <w:rPr>
          <w:rFonts w:ascii="Consolas" w:eastAsia="FangSong" w:hAnsi="Consolas" w:cs="Consolas"/>
          <w:sz w:val="20"/>
          <w:szCs w:val="20"/>
          <w:shd w:fill="f5f5f5"/>
        </w:rPr>
        <w:t xml:space="preserve">STxxL</w:t>
      </w:r>
      <w:r>
        <w:t xml:space="preserve"> = static lookup tables.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Entry contract is uniform — that's the gift.</w:t>
      </w:r>
      <w:r>
        <w:t xml:space="preserve"> Six of the eight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.rpgle</w:t>
      </w:r>
      <w:r>
        <w:t xml:space="preserve"> programs accept exactly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(@@rrn,@@mode,@@next,@@TabInd)</w:t>
      </w:r>
      <w:r>
        <w:t xml:space="preserve">. That's literally what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STLAUNCH</w:t>
      </w:r>
      <w:r>
        <w:t xml:space="preserve"> packages. So once the supporting layers exist, </w:t>
      </w:r>
      <w:r>
        <w:rPr>
          <w:b/>
          <w:bCs/>
        </w:rPr>
        <w:t xml:space="preserve">any one</w:t>
      </w:r>
      <w:r>
        <w:t xml:space="preserve"> of these can be invoked the same way.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shared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STACTPNL</w:t>
      </w:r>
      <w:r>
        <w:rPr>
          <w:b/>
          <w:bCs/>
        </w:rPr>
        <w:t xml:space="preserve"> /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WTACTPNL</w:t>
      </w:r>
      <w:r>
        <w:rPr>
          <w:b/>
          <w:bCs/>
        </w:rPr>
        <w:t xml:space="preserve"> DDS is the first blocker.</w:t>
      </w:r>
      <w:r>
        <w:t xml:space="preserve"> Those two missing display files are the function-key bar that appears across every program. They are 50–100-line DDS files in real life. Getting them is high-value, low-effort: once they're present, compilation can begin.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Embedded SQL with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SET OPTION COMMIT=*NONE</w:t>
      </w:r>
      <w:r>
        <w:t xml:space="preserve"> at every entry says: "we own transaction management; do not engage commitment control." Normal for read-heavy IBM i CRUD, but means these programs need explicit transaction semantics if you ever want commit-protected ops.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Call-stack introspection is heavily used.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SRCHKPGM</w:t>
      </w:r>
      <w:r>
        <w:t xml:space="preserve"> is called to detect "am I being invoked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WTRPTAGACT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WTRPTAGLOS</w:t>
      </w:r>
      <w:r>
        <w:t xml:space="preserve">?" That branches behavior — meaning these programs are designed to be both directly launched </w:t>
      </w:r>
      <w:r>
        <w:rPr>
          <w:i/>
          <w:iCs/>
        </w:rPr>
        <w:t xml:space="preserve">and</w:t>
      </w:r>
      <w:r>
        <w:t xml:space="preserve"> invoked from batch/reporting. Don't be surprised if some of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@@next</w:t>
      </w:r>
      <w:r>
        <w:t xml:space="preserve"> navigation values are undocumented edges.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It's Sapiens-branded but with StoneRiver pedigree.</w:t>
      </w:r>
      <w:r>
        <w:t xml:space="preserve"> Headers show 2014 © StoneRiver, later © 2025 Sapiens — Sapiens acquired StoneRiver's insurance suite. Project tags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WC2395 / WC2964 / WC2447</w:t>
      </w:r>
      <w:r>
        <w:t xml:space="preserve"> are the work-tickets driving the revisions.</w:t>
      </w:r>
    </w:p>
    <w:p>
      <w:pPr>
        <w:pStyle w:val="Heading2"/>
      </w:pPr>
      <w:r>
        <w:t xml:space="preserve">8. Next steps — getting an option on the menu and making it run</w:t>
      </w:r>
    </w:p>
    <w:p>
      <w:r>
        <w:t xml:space="preserve">Two completely separate tracks. Decide which is the goal.</w:t>
      </w:r>
    </w:p>
    <w:p>
      <w:pPr>
        <w:pStyle w:val="Heading3"/>
      </w:pPr>
      <w:r>
        <w:t xml:space="preserve">Track A — "Add a menu option that </w:t>
      </w:r>
      <w:r>
        <w:rPr>
          <w:i/>
          <w:iCs/>
        </w:rPr>
        <w:t xml:space="preserve">launches</w:t>
      </w:r>
      <w:r>
        <w:t xml:space="preserve"> an Agency program" (lowest-effort)</w:t>
      </w:r>
    </w:p>
    <w:p>
      <w:r>
        <w:t xml:space="preserve">This wires up the existing demo menu so option 4 says "Agency Configuration" and tries to call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</w:t>
      </w:r>
      <w:r>
        <w:t xml:space="preserve">. It will only actually display anything once Track B is done, but it lets you commit the menu change immediately.</w:t>
      </w:r>
    </w:p>
    <w:p>
      <w:r>
        <w:t xml:space="preserve">Files to change (both in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/workspace/ibmi-agentic/src/</w:t>
      </w:r>
      <w:r>
        <w:t xml:space="preserve">):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menu.dspf</w:t>
      </w:r>
      <w:r>
        <w:t xml:space="preserve"> — add a line: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920" w:right="200"/>
      </w:pPr>
      <w:r>
        <w:rPr>
          <w:color w:val="24292e"/>
        </w:rPr>
        <w:t xml:space="preserve">     A                                  8  7'4. Agency Configuration'</w:t>
      </w:r>
    </w:p>
    <w:p>
      <w:pPr>
        <w:pStyle w:val="ListParagraph"/>
        <w:numPr>
          <w:ilvl w:val="0"/>
          <w:numId w:val="4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menu.msgf</w:t>
      </w:r>
      <w:r>
        <w:t xml:space="preserve"> — add the matching message: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920" w:right="200"/>
      </w:pPr>
      <w:r>
        <w:rPr>
          <w:color w:val="24292e"/>
        </w:rPr>
        <w:t xml:space="preserve">addmsgd msgid(usr0004) msgf($LIBRARY/$NAME)</w:t>
      </w:r>
      <w:r>
        <w:br/>
        <w:t xml:space="preserve"/>
      </w:r>
      <w:r>
        <w:rPr>
          <w:color w:val="24292e"/>
        </w:rPr>
        <w:t xml:space="preserve">        msg('call wtagtcfg parm('' '' '' '' ''GetAgency '' ''     '')')</w:t>
      </w:r>
      <w:r>
        <w:br/>
        <w:t xml:space="preserve"/>
      </w:r>
      <w:r>
        <w:rPr>
          <w:color w:val="24292e"/>
        </w:rPr>
        <w:t xml:space="preserve">        seclvl(*none) sev(00) fmt(*none)</w:t>
      </w:r>
    </w:p>
    <w:p>
      <w:pPr>
        <w:pStyle w:val="ListParagraph"/>
        <w:numPr>
          <w:ilvl w:val="0"/>
          <w:numId w:val="4"/>
        </w:numPr>
      </w:pPr>
      <w:r>
        <w:t xml:space="preserve">(Four blank-padded parms: blank rrn, blank mode,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'GetAgency'</w:t>
      </w:r>
      <w:r>
        <w:t xml:space="preserve">, blank TabInd.)</w:t>
      </w:r>
    </w:p>
    <w:p>
      <w:pPr>
        <w:pStyle w:val="ListParagraph"/>
        <w:numPr>
          <w:ilvl w:val="0"/>
          <w:numId w:val="4"/>
        </w:numPr>
      </w:pP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Rules.mk</w:t>
      </w:r>
      <w:r>
        <w:t xml:space="preserve"> — once the prerequisites in Track B are met, add: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920" w:right="200"/>
      </w:pPr>
      <w:r>
        <w:rPr>
          <w:color w:val="24292e"/>
        </w:rPr>
        <w:t xml:space="preserve">wtagtcfg.file: Sapiens/wtagtcfg.dds</w:t>
      </w:r>
      <w:r>
        <w:br/>
        <w:t xml:space="preserve"/>
      </w:r>
      <w:r>
        <w:rPr>
          <w:color w:val="24292e"/>
        </w:rPr>
        <w:t xml:space="preserve">stactpnl.file: &lt;…&gt;/stactpnl.dds</w:t>
      </w:r>
      <w:r>
        <w:br/>
        <w:t xml:space="preserve"/>
      </w:r>
      <w:r>
        <w:rPr>
          <w:color w:val="24292e"/>
        </w:rPr>
        <w:t xml:space="preserve">wtagtcfg.pgm:  Sapiens/wtagtcfg.rpgle wtagtcfg.file stactpnl.file | &lt;bnddirs&gt; &lt;PF/LF deps&gt;</w:t>
      </w:r>
    </w:p>
    <w:p>
      <w:pPr>
        <w:pStyle w:val="ListParagraph"/>
        <w:numPr>
          <w:ilvl w:val="0"/>
          <w:numId w:val="4"/>
        </w:numPr>
      </w:pPr>
      <w:r>
        <w:t xml:space="preserve">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codermake</w:t>
      </w:r>
      <w:r>
        <w:t xml:space="preserve">'s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Rules.mk</w:t>
      </w:r>
      <w:r>
        <w:t xml:space="preserve"> resolves source by path; the Sapiens files can stay in their subdirectory.)</w:t>
      </w:r>
    </w:p>
    <w:p>
      <w:r>
        <w:t xml:space="preserve">This gives you a green-screen menu entry that signs in to a 5250 session, types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4</w:t>
      </w:r>
      <w:r>
        <w:t xml:space="preserve">, and runs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CALL WTAGTCFG</w:t>
      </w:r>
      <w:r>
        <w:t xml:space="preserve">. It will fail to compile until Track B is partially done — but the menu change itself is mechanical and safe.</w:t>
      </w:r>
    </w:p>
    <w:p>
      <w:pPr>
        <w:pStyle w:val="Heading3"/>
      </w:pPr>
      <w:r>
        <w:t xml:space="preserve">Track B — "Actually get WTAGTCFG running"</w:t>
      </w:r>
    </w:p>
    <w:p>
      <w:r>
        <w:t xml:space="preserve">The minimum to get </w:t>
      </w:r>
      <w:r>
        <w:rPr>
          <w:b/>
          <w:bCs/>
        </w:rPr>
        <w:t xml:space="preserve">one</w:t>
      </w:r>
      <w:r>
        <w:t xml:space="preserve"> program (recommend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</w:t>
      </w:r>
      <w:r>
        <w:t xml:space="preserve"> — least file dependencies after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WTAGTSRVRT</w:t>
      </w:r>
      <w:r>
        <w:t xml:space="preserve">) compiled and launchable: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Pull the shared action panel DDS.</w:t>
      </w:r>
      <w:r>
        <w:t xml:space="preserve"> From the user's IBM i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V26PNSRC/QDDSSRC</w:t>
      </w:r>
      <w:r>
        <w:t xml:space="preserve">, retrieve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WTACTPNL</w:t>
      </w:r>
      <w:r>
        <w:t xml:space="preserve"> (start with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</w:t>
      </w:r>
      <w:r>
        <w:t xml:space="preserve"> since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</w:t>
      </w:r>
      <w:r>
        <w:t xml:space="preserve"> uses it). Add them to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Sapiens/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Stage the dependency PFs / LFs that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WTAGTCFG</w:t>
      </w:r>
      <w:r>
        <w:rPr>
          <w:b/>
          <w:bCs/>
        </w:rPr>
        <w:t xml:space="preserve"> opens.</w:t>
      </w:r>
      <w:r>
        <w:t xml:space="preserve"> From WTAGTCFG's F-specs that is exactly:
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WMAGL1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WMAGL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SMCOL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WMAAL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WDF2L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WMCZL</w:t>
      </w:r>
      <w:r>
        <w:t xml:space="preserve"> — plus the underlying PFs they're built over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WMAGP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SMCOP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WMAAP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WDF2P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WMCZP</w:t>
      </w:r>
      <w:r>
        <w:t xml:space="preserve">). Source those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*.PF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*.LF</w:t>
      </w:r>
      <w:r>
        <w:t xml:space="preserve"> DDS members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V26PNSRC/QDDSSRC</w:t>
      </w:r>
      <w:r>
        <w:t xml:space="preserve"> and drop them into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Sapiens/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Stage the external programs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RTVCLTID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SRCHKPGM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STRTVDTA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STWRTDTA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W4020R</w:t>
      </w:r>
      <w:r>
        <w:t xml:space="preserve">. If their source is not handy, at minimum ensure their </w:t>
      </w:r>
      <w:r>
        <w:rPr>
          <w:b/>
          <w:bCs/>
        </w:rPr>
        <w:t xml:space="preserve">compiled objects</w:t>
      </w:r>
      <w:r>
        <w:t xml:space="preserve"> exist in the build library list. The compiler is happy with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EXTPGM</w:t>
      </w:r>
      <w:r>
        <w:t xml:space="preserve"> prototypes against compiled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*PGM</w:t>
      </w:r>
      <w:r>
        <w:t xml:space="preserve"> objects.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Ensure binding directories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STBNDDIR</w:t>
      </w:r>
      <w:r>
        <w:rPr>
          <w:b/>
          <w:bCs/>
        </w:rPr>
        <w:t xml:space="preserve"> and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WTGRPCFG</w:t>
      </w:r>
      <w:r>
        <w:t xml:space="preserve"> are in the build library list of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AITSK00030</w:t>
      </w:r>
      <w:r>
        <w:t xml:space="preserve">. Without them, every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'd prototype will resolve at compile time but </w:t>
      </w:r>
      <w:r>
        <w:rPr>
          <w:b/>
          <w:bCs/>
        </w:rPr>
        <w:t xml:space="preserve">fail to bind at link time</w:t>
      </w:r>
      <w:r>
        <w:t xml:space="preserve"> ("module not found for export X").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Author </w:t>
      </w:r>
      <w:r>
        <w:rPr>
          <w:rFonts w:ascii="Consolas" w:eastAsia="FangSong" w:hAnsi="Consolas" w:cs="Consolas"/>
          <w:b/>
          <w:bCs/>
          <w:sz w:val="20"/>
          <w:szCs w:val="20"/>
          <w:shd w:fill="f5f5f5"/>
        </w:rPr>
        <w:t xml:space="preserve">Rules.mk</w:t>
      </w:r>
      <w:r>
        <w:rPr>
          <w:b/>
          <w:bCs/>
        </w:rPr>
        <w:t xml:space="preserve"> entries</w:t>
      </w:r>
      <w:r>
        <w:t xml:space="preserve"> for the Sapiens subset. Pattern (mirroring the existing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wrkcustr.pgm</w:t>
      </w:r>
      <w:r>
        <w:t xml:space="preserve"> recipe):</w:t>
      </w:r>
    </w:p>
    <w:p>
      <w:pPr>
        <w:pStyle w:val="CodeBlock"/>
        <w:pBdr>
          <w:top w:val="single" w:color="E1E4E8" w:sz="6" w:space="10"/>
          <w:bottom w:val="single" w:color="E1E4E8" w:sz="6" w:space="10"/>
          <w:left w:val="single" w:color="E1E4E8" w:sz="6" w:space="10"/>
          <w:right w:val="single" w:color="E1E4E8" w:sz="6" w:space="10"/>
        </w:pBdr>
        <w:shd w:fill="f5f5f5"/>
        <w:wordWrap w:val="0"/>
        <w:ind w:left="920" w:right="200"/>
      </w:pPr>
      <w:r>
        <w:rPr>
          <w:color w:val="24292e"/>
        </w:rPr>
        <w:t xml:space="preserve"># Sapiens</w:t>
      </w:r>
      <w:r>
        <w:br/>
        <w:t xml:space="preserve"/>
      </w:r>
      <w:r>
        <w:rPr>
          <w:color w:val="24292e"/>
        </w:rPr>
        <w:t xml:space="preserve">stactpnl.file:  Sapiens/stactpnl.dds</w:t>
      </w:r>
      <w:r>
        <w:br/>
        <w:t xml:space="preserve"/>
      </w:r>
      <w:r>
        <w:rPr>
          <w:color w:val="24292e"/>
        </w:rPr>
        <w:t xml:space="preserve">wtagtcfg.file:  Sapiens/wtagtcfg.dds</w:t>
      </w:r>
      <w:r>
        <w:br/>
        <w:t xml:space="preserve"/>
      </w:r>
      <w:r>
        <w:rPr>
          <w:color w:val="24292e"/>
        </w:rPr>
        <w:t xml:space="preserve">wmagp.file:     Sapiens/wmagp.pf</w:t>
      </w:r>
      <w:r>
        <w:br/>
        <w:t xml:space="preserve"/>
      </w:r>
      <w:r>
        <w:rPr>
          <w:color w:val="24292e"/>
        </w:rPr>
        <w:t xml:space="preserve">wmagl.file:     Sapiens/wmagl.lf | wmagp.file</w:t>
      </w:r>
      <w:r>
        <w:br/>
        <w:t xml:space="preserve"/>
      </w:r>
      <w:r>
        <w:rPr>
          <w:color w:val="24292e"/>
        </w:rPr>
        <w:t xml:space="preserve">wmagl1.file:    Sapiens/wmagl1.lf | wmagp.file</w:t>
      </w:r>
      <w:r>
        <w:br/>
        <w:t xml:space="preserve"/>
      </w:r>
      <w:r>
        <w:rPr>
          <w:color w:val="24292e"/>
        </w:rPr>
        <w:t xml:space="preserve">smcop.file:     Sapiens/smcop.pf</w:t>
      </w:r>
      <w:r>
        <w:br/>
        <w:t xml:space="preserve"/>
      </w:r>
      <w:r>
        <w:rPr>
          <w:color w:val="24292e"/>
        </w:rPr>
        <w:t xml:space="preserve">smcol.file:     Sapiens/smcol.lf | smcop.file</w:t>
      </w:r>
      <w:r>
        <w:br/>
        <w:t xml:space="preserve"/>
      </w:r>
      <w:r>
        <w:rPr>
          <w:color w:val="24292e"/>
        </w:rPr>
        <w:t xml:space="preserve">wmaap.file:     Sapiens/wmaap.pf</w:t>
      </w:r>
      <w:r>
        <w:br/>
        <w:t xml:space="preserve"/>
      </w:r>
      <w:r>
        <w:rPr>
          <w:color w:val="24292e"/>
        </w:rPr>
        <w:t xml:space="preserve">wmaal.file:     Sapiens/wmaal.lf | wmaap.file</w:t>
      </w:r>
      <w:r>
        <w:br/>
        <w:t xml:space="preserve"/>
      </w:r>
      <w:r>
        <w:rPr>
          <w:color w:val="24292e"/>
        </w:rPr>
        <w:t xml:space="preserve">wdf2p.file:     Sapiens/wdf2p.pf</w:t>
      </w:r>
      <w:r>
        <w:br/>
        <w:t xml:space="preserve"/>
      </w:r>
      <w:r>
        <w:rPr>
          <w:color w:val="24292e"/>
        </w:rPr>
        <w:t xml:space="preserve">wdf2l.file:     Sapiens/wdf2l.lf | wdf2p.file</w:t>
      </w:r>
      <w:r>
        <w:br/>
        <w:t xml:space="preserve"/>
      </w:r>
      <w:r>
        <w:rPr>
          <w:color w:val="24292e"/>
        </w:rPr>
        <w:t xml:space="preserve">wmczp.file:     Sapiens/wmczp.pf</w:t>
      </w:r>
      <w:r>
        <w:br/>
        <w:t xml:space="preserve"/>
      </w:r>
      <w:r>
        <w:rPr>
          <w:color w:val="24292e"/>
        </w:rPr>
        <w:t xml:space="preserve">wmczl.file:     Sapiens/wmczl.lf | wmczp.file</w:t>
      </w:r>
      <w:r>
        <w:br/>
        <w:t xml:space="preserve"/>
      </w:r>
      <w:r>
        <w:br/>
        <w:t xml:space="preserve"/>
      </w:r>
      <w:r>
        <w:rPr>
          <w:color w:val="24292e"/>
        </w:rPr>
        <w:t xml:space="preserve">wtagtcfg.pgm:   Sapiens/wtagtcfg.rpgle \</w:t>
      </w:r>
      <w:r>
        <w:br/>
        <w:t xml:space="preserve"/>
      </w:r>
      <w:r>
        <w:rPr>
          <w:color w:val="24292e"/>
        </w:rPr>
        <w:t xml:space="preserve">                wtagtcfg.file stactpnl.file \</w:t>
      </w:r>
      <w:r>
        <w:br/>
        <w:t xml:space="preserve"/>
      </w:r>
      <w:r>
        <w:rPr>
          <w:color w:val="24292e"/>
        </w:rPr>
        <w:t xml:space="preserve">                | wmagp.file wmagl.file wmagl1.file smcop.file smcol.file \</w:t>
      </w:r>
      <w:r>
        <w:br/>
        <w:t xml:space="preserve"/>
      </w:r>
      <w:r>
        <w:rPr>
          <w:color w:val="24292e"/>
        </w:rPr>
        <w:t xml:space="preserve">                  wmaap.file wmaal.file wdf2p.file wdf2l.file wmczp.file wmczl.file</w:t>
      </w:r>
    </w:p>
    <w:p>
      <w:pPr>
        <w:pStyle w:val="ListParagraph"/>
        <w:numPr>
          <w:ilvl w:val="0"/>
          <w:numId w:val="5"/>
        </w:numPr>
      </w:pPr>
      <w:r>
        <w:t xml:space="preserve">Plus a build-side hook to add the binding directories — easiest is to ensure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*LIBL</w:t>
      </w:r>
      <w:r>
        <w:t xml:space="preserve"> of the build library list includes the libraries holding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STBNDDIR</w:t>
      </w:r>
      <w:r>
        <w:t xml:space="preserve"> /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WTGRPCFG</w:t>
      </w:r>
      <w:r>
        <w:t xml:space="preserve"> at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CRTBNDRPG</w:t>
      </w:r>
      <w:r>
        <w:t xml:space="preserve">/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CRTPGM</w:t>
      </w:r>
      <w:r>
        <w:t xml:space="preserve"> time.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codermake</w:t>
      </w:r>
      <w:r>
        <w:t xml:space="preserve"> honors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INCDIR</w:t>
      </w:r>
      <w:r>
        <w:t xml:space="preserve"> for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 resolution;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/COPY</w:t>
      </w:r>
      <w:r>
        <w:t xml:space="preserve"> members are already side-by-side in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Sapiens/</w:t>
      </w:r>
      <w:r>
        <w:t xml:space="preserve">, so the compiler just needs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Sapiens/</w:t>
      </w:r>
      <w:r>
        <w:t xml:space="preserve"> on its include path.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 compile:</w:t>
      </w:r>
      <w:r>
        <w:t xml:space="preserve">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codermake wtagtcfg.pgm</w:t>
      </w:r>
      <w:r>
        <w:t xml:space="preserve">. Expect first failure to be DDS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 not found</w:t>
      </w:r>
      <w:r>
        <w:t xml:space="preserve">) or binding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*MODULE not found</w:t>
      </w:r>
      <w:r>
        <w:t xml:space="preserve">). Iterate.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 launch: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5250: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CALL WTAGTCFG (' ' ' ' 'GetAgency ' '     ')</w:t>
      </w:r>
      <w:r>
        <w:t xml:space="preserve"> — first screen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RCDPANEL</w:t>
      </w:r>
      <w:r>
        <w:t xml:space="preserve"> should appear (degraded look without Profound UI handler).</w:t>
      </w:r>
    </w:p>
    <w:p>
      <w:pPr>
        <w:pStyle w:val="ListParagraph"/>
        <w:pStyle w:val="ListParagraph"/>
        <w:numPr>
          <w:ilvl w:val="1"/>
          <w:numId w:val="1"/>
        </w:numPr>
      </w:pPr>
      <w:r>
        <w:t xml:space="preserve">Profound UI: hit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/profoundui/auth/start?pgm=AITSK00030/STLAUNCH&amp;p1=WTAGTCFG&amp;l1=10&amp;p2=LIV&amp;l2=3&amp;p3=(' ' ' ' ' ' ' ' ' ' ' ' ' ' ' ' ' ' ' ' ' ' ' ')*End&amp;l3=53</w:t>
      </w:r>
      <w:r>
        <w:t xml:space="preserve"> — full web tab.</w:t>
      </w:r>
    </w:p>
    <w:p>
      <w:pPr>
        <w:pStyle w:val="Heading3"/>
      </w:pPr>
      <w:r>
        <w:t xml:space="preserve">Track-B effort estimate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Step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Effort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Header"/>
            </w:pPr>
            <w:r>
              <w:rPr>
                <w:color w:val="171717"/>
              </w:rPr>
              <w:t xml:space="preserve">Blocker if missing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Copy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STACTPNL</w:t>
            </w:r>
            <w:r>
              <w:t xml:space="preserve"> + database DDS sources (~20 PF/LF)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~30 min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Compile fails immediately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Confirm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STBNDDIR</w:t>
            </w:r>
            <w:r>
              <w:t xml:space="preserve"> /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WTGRPCFG</w:t>
            </w:r>
            <w:r>
              <w:t xml:space="preserve"> exist in library list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~10 min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Bind fails after compile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Confirm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RTVCLTID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SRCHKPGM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STRTVDTA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STWRTDTA</w:t>
            </w:r>
            <w:r>
              <w:t xml:space="preserve">/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W4020R</w:t>
            </w:r>
            <w:r>
              <w:t xml:space="preserve"> objects exist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~15 min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Runtime call fails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Author Rules.mk entries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~30 min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First successful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codermake</w:t>
            </w:r>
            <w:r>
              <w:t xml:space="preserve"> for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WTAGTCFG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~1–2 hr (iterate)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Wire menu option + 5250/Profound launch test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~30 min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</w:tr>
    </w:tbl>
    <w:p>
      <w:r>
        <w:t xml:space="preserve">Expanding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</w:t>
      </w:r>
      <w:r>
        <w:t xml:space="preserve"> to the other 7 drivers is the same shape with more PF/LF dependencies.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WTVSTTRK</w:t>
      </w:r>
      <w:r>
        <w:t xml:space="preserve"> is the biggest jump — its F-spec list is ~30 files.</w:t>
      </w:r>
    </w:p>
    <w:p>
      <w:pPr>
        <w:pStyle w:val="Heading2"/>
      </w:pPr>
      <w:r>
        <w:t xml:space="preserve">9. Recommendation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Land Track A's menu wiring as a small commit now so the demo menu reflects the new module slice (this commit captures the source drop too).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For Track B, the </w:t>
      </w:r>
      <w:r>
        <w:rPr>
          <w:b/>
          <w:bCs/>
        </w:rPr>
        <w:t xml:space="preserve">first concrete unblocker</w:t>
      </w:r>
      <w:r>
        <w:t xml:space="preserve"> I need from you is access (via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dev</w:t>
      </w:r>
      <w:r>
        <w:t xml:space="preserve"> SSH alias) to library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</w:t>
      </w:r>
      <w:r>
        <w:t xml:space="preserve"> so I can pull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STACTPNL.dds</w:t>
      </w:r>
      <w:r>
        <w:t xml:space="preserve">,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WTACTPNL.dds</w:t>
      </w:r>
      <w:r>
        <w:t xml:space="preserve">, and the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WMAGP/WMAGL/WMAGL1/SMCOP/SMCOL/WMAAP/WMAAL/WDF2P/WDF2L/WMCZP/WMCZL</w:t>
      </w:r>
      <w:r>
        <w:t xml:space="preserve"> DDS members. Once those are in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Sapiens/</w:t>
      </w:r>
      <w:r>
        <w:t xml:space="preserve">, I can author a working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Rules.mk</w:t>
      </w:r>
      <w:r>
        <w:t xml:space="preserve"> block and try to build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WTAGTCFG.pgm</w:t>
      </w:r>
      <w:r>
        <w:t xml:space="preserve"> against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AITSK00030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Confirm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STBNDDIR</w:t>
      </w:r>
      <w:r>
        <w:t xml:space="preserve"> and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WTGRPCFG</w:t>
      </w:r>
      <w:r>
        <w:t xml:space="preserve"> binding directories are present on the dev box (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DSPBNDDIR BNDDIR(STBNDDIR)</w:t>
      </w:r>
      <w:r>
        <w:t xml:space="preserve"> from a 5250). If not, that's the next thing to get from </w:t>
      </w:r>
      <w:r>
        <w:rPr>
          <w:rFonts w:ascii="Consolas" w:eastAsia="FangSong" w:hAnsi="Consolas" w:cs="Consolas"/>
          <w:sz w:val="20"/>
          <w:szCs w:val="20"/>
          <w:shd w:fill="f5f5f5"/>
        </w:rPr>
        <w:t xml:space="preserve">V26PNSRC</w:t>
      </w:r>
      <w: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</w:pPr>
      <w:r>
        <w:t xml:space="preserve">Decide whether the test target is </w:t>
      </w:r>
      <w:r>
        <w:rPr>
          <w:b/>
          <w:bCs/>
        </w:rPr>
        <w:t xml:space="preserve">green-screen 5250</w:t>
      </w:r>
      <w:r>
        <w:t xml:space="preserve"> (will require removing the Profound UI handler; the screens will look stripped — many widgets won't render) or </w:t>
      </w:r>
      <w:r>
        <w:rPr>
          <w:b/>
          <w:bCs/>
        </w:rPr>
        <w:t xml:space="preserve">Profound UI web</w:t>
      </w:r>
      <w:r>
        <w:t xml:space="preserve"> (preferred — this is what the code was designed for).</w:t>
      </w:r>
    </w:p>
    <w:p>
      <w:r>
        <w:t xml:space="preserve">Exploratory verification: not applicable to this task — no interactive display-file changes were made and nothing was deployed to IBM 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line="360" w:before="60" w:after="18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line="360" w:before="380" w:after="10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line="360" w:before="340" w:after="8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line="360" w:before="300" w:after="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line="360" w:before="260" w:after="4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line="360" w:before="220" w:after="2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  <w:style w:type="paragraph" w:styleId="ListParagraph">
    <w:name w:val="List Paragraph"/>
    <w:basedOn w:val="Normal"/>
    <w:next w:val="Normal"/>
    <w:pPr>
      <w:spacing w:line="360" w:before="60" w:after="0"/>
    </w:pPr>
  </w:style>
  <w:style w:type="paragraph" w:styleId="CodeBlock">
    <w:name w:val="Code Block"/>
    <w:basedOn w:val="Normal"/>
    <w:next w:val="Normal"/>
    <w:pPr>
      <w:spacing w:line="276" w:before="258" w:after="222"/>
    </w:pPr>
    <w:rPr>
      <w:rFonts w:ascii="Consolas" w:eastAsia="FangSong" w:hAnsi="Consolas" w:cs="Consolas"/>
      <w:sz w:val="20"/>
      <w:szCs w:val="20"/>
    </w:rPr>
  </w:style>
  <w:style w:type="paragraph" w:styleId="BlockquoteText">
    <w:name w:val="Blockquote Text"/>
    <w:basedOn w:val="Normal"/>
    <w:next w:val="Normal"/>
    <w:pPr>
      <w:spacing w:line="360" w:before="260" w:after="0"/>
    </w:pPr>
  </w:style>
  <w:style w:type="paragraph" w:styleId="TableText">
    <w:name w:val="Table Text"/>
    <w:basedOn w:val="Normal"/>
    <w:next w:val="Normal"/>
    <w:pPr>
      <w:spacing w:before="60" w:after="60" w:line="240"/>
      <w:jc w:val="left"/>
    </w:pPr>
    <w:rPr>
      <w:sz w:val="20"/>
      <w:szCs w:val="20"/>
    </w:rPr>
  </w:style>
  <w:style w:type="paragraph" w:styleId="TableHeader">
    <w:name w:val="Table Header"/>
    <w:basedOn w:val="TableText"/>
    <w:next w:val="TableText"/>
    <w:pPr>
      <w:jc w:val="center"/>
    </w:pPr>
    <w:rPr>
      <w:b/>
      <w:bCs/>
    </w:rPr>
  </w:style>
  <w:style w:type="paragraph" w:styleId="HorizontalRule">
    <w:name w:val="Horizontal Rule"/>
    <w:basedOn w:val="Normal"/>
    <w:next w:val="Normal"/>
    <w:pPr>
      <w:spacing w:before="400" w:after="400" w:line="120"/>
    </w:pPr>
  </w:style>
  <w:style w:type="paragraph" w:styleId="MathBlock">
    <w:name w:val="Math Block"/>
    <w:basedOn w:val="Normal"/>
    <w:next w:val="Normal"/>
    <w:pPr>
      <w:spacing w:before="120" w:after="12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1b620f131ec0b2958a41170737d1a6e35216355.png"/><Relationship Id="rId7" Type="http://schemas.openxmlformats.org/officeDocument/2006/relationships/image" Target="media/4cb272287a81d511a52559b9ff6d9e91265bbb43.png"/><Relationship Id="rId8" Type="http://schemas.openxmlformats.org/officeDocument/2006/relationships/image" Target="media/e98ce2a61179c021fbc0df37360b51c24a5c6d2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2026-06-07T15:56:35.851Z</dcterms:created>
  <dcterms:modified xsi:type="dcterms:W3CDTF">2026-06-07T15:56:35.851Z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