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Sapiens Agency Demo — Achievements &amp; Missing Artefacts</w:t>
      </w:r>
    </w:p>
    <w:p>
      <w:r>
        <w:rPr>
          <w:i/>
          <w:iCs/>
        </w:rPr>
        <w:t xml:space="preserve">A status snapshot of what we received from Sapiens, what we built around the gaps, and what would still be valuable to get from them.</w:t>
      </w:r>
    </w:p>
    <w:p>
      <w:r>
        <w:rPr>
          <w:b/>
          <w:bCs/>
        </w:rPr>
        <w:t xml:space="preserve">Task library:</w:t>
      </w:r>
      <w:r>
        <w:t xml:space="preserve">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AITSK00030</w:t>
      </w:r>
      <w:r>
        <w:t xml:space="preserve">  •  </w:t>
      </w:r>
      <w:r>
        <w:rPr>
          <w:b/>
          <w:bCs/>
        </w:rPr>
        <w:t xml:space="preserve">Source root:</w:t>
      </w:r>
      <w:r>
        <w:t xml:space="preserve">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/workspace/ibmi-agentic/src/Sapiens/</w:t>
      </w:r>
      <w:r>
        <w:t xml:space="preserve">  •  </w:t>
      </w:r>
      <w:r>
        <w:rPr>
          <w:b/>
          <w:bCs/>
        </w:rPr>
        <w:t xml:space="preserve">Companion docs:</w:t>
      </w:r>
      <w:r>
        <w:t xml:space="preserve">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Sapiens-Analysis.md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Rebuild.md</w:t>
      </w:r>
    </w:p>
    <w:p/>
    <w:p>
      <w:pPr>
        <w:pStyle w:val="Heading2"/>
      </w:pPr>
      <w:r>
        <w:t xml:space="preserve">1. What we achieved</w:t>
      </w:r>
    </w:p>
    <w:p>
      <w:pPr>
        <w:pStyle w:val="Heading3"/>
      </w:pPr>
      <w:r>
        <w:t xml:space="preserve">1.1 A fully-running Agency Configuration screen on the demo menu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Option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Title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Driver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Display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Agency Configuration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WTAGTCFG</w:t>
            </w:r>
            <w:r>
              <w:t xml:space="preserve"> (Sapiens SQLRPGLE)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WTAGTCFG</w:t>
            </w:r>
            <w:r>
              <w:t xml:space="preserve"> 5250 DDS + PUI Rich Display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Runs end-to-end. Grid loads 35 sample agencies. Search filters. Detail panel populates.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Agency Configuration (EJS)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WTAGTCFE</w:t>
            </w:r>
            <w:r>
              <w:t xml:space="preserve"> (new, free-form RPG)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EJS Rich Display File (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agency.html</w:t>
            </w:r>
            <w:r>
              <w:t xml:space="preserve"> + CSS + JS)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Runs end-to-end with Sapiens-branded UX (navy/orange/cream, DM Sans/Inter). Template fetch works via inline-shim workaround (see §3.3).</w:t>
            </w:r>
          </w:p>
        </w:tc>
      </w:tr>
    </w:tbl>
    <w:p>
      <w:r>
        <w:t xml:space="preserve">Both options are reachable from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MENU</w:t>
      </w:r>
      <w:r>
        <w:t xml:space="preserve">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USR0004</w:t>
      </w:r>
      <w:r>
        <w:t xml:space="preserve"> and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USR0005</w:t>
      </w:r>
      <w:r>
        <w:t xml:space="preserve"> message IDs). Cancel/Exit work. Sample data is rich enough to demonstrate filtering and selection.</w:t>
      </w:r>
    </w:p>
    <w:p>
      <w:pPr>
        <w:pStyle w:val="Heading3"/>
      </w:pPr>
      <w:r>
        <w:t xml:space="preserve">1.2 Sapiens artefacts brought up cleanly</w:t>
      </w:r>
    </w:p>
    <w:p>
      <w:r>
        <w:t xml:space="preserve">Every Sapiens-supplied artefact that referenced </w:t>
      </w:r>
      <w:r>
        <w:rPr>
          <w:b/>
          <w:bCs/>
        </w:rPr>
        <w:t xml:space="preserve">only</w:t>
      </w:r>
      <w:r>
        <w:t xml:space="preserve"> existing primitives now builds: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b/>
          <w:bCs/>
        </w:rPr>
        <w:t xml:space="preserve">Driver programs:</w:t>
      </w:r>
      <w:r>
        <w:t xml:space="preserve">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WTAGTCFG.sqlrpgle</w:t>
      </w:r>
      <w:r>
        <w:t xml:space="preserve"> (the option-4 program) compiles and binds.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b/>
          <w:bCs/>
        </w:rPr>
        <w:t xml:space="preserve">Service-program /COPY modules:</w:t>
      </w:r>
      <w:r>
        <w:t xml:space="preserve"> All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SPR*</w:t>
      </w:r>
      <w:r>
        <w:t xml:space="preserve"> and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SCOPY*</w:t>
      </w:r>
      <w:r>
        <w:t xml:space="preserve"> copybooks load from the new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AITSK00030/QRPGLESRC</w:t>
      </w:r>
      <w:r>
        <w:t xml:space="preserve"> source physical file.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b/>
          <w:bCs/>
        </w:rPr>
        <w:t xml:space="preserve">DDS:</w:t>
      </w:r>
      <w:r>
        <w:t xml:space="preserve">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STACTPNL.dspf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WTAGTCFG.dspf</w:t>
      </w:r>
      <w:r>
        <w:t xml:space="preserve">, plus the read-only DDS shipped for the other Agency screens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WTAGTASN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WTAGTCON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WTAGTPRI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WTAGTPROD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WTAGTRTFND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WTAGTSRVRT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WTVSTTRK</w:t>
      </w:r>
      <w:r>
        <w:t xml:space="preserve">).</w:t>
      </w:r>
    </w:p>
    <w:p>
      <w:pPr>
        <w:pStyle w:val="Heading3"/>
      </w:pPr>
      <w:r>
        <w:t xml:space="preserve">1.3 Documentation, sample data, and a clean rebuild path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rFonts w:ascii="Consolas" w:eastAsia="FangSong" w:hAnsi="Consolas" w:cs="Consolas"/>
          <w:sz w:val="20"/>
          <w:szCs w:val="20"/>
          <w:shd w:fill="f5f5f5"/>
        </w:rPr>
        <w:t xml:space="preserve">Sapiens-Analysis.md</w:t>
      </w:r>
      <w:r>
        <w:t xml:space="preserve"> — exhaustive technical reading of the source drop, including mermaid diagrams of program flow, dependency maps, and a list of unresolved external symbols.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rFonts w:ascii="Consolas" w:eastAsia="FangSong" w:hAnsi="Consolas" w:cs="Consolas"/>
          <w:sz w:val="20"/>
          <w:szCs w:val="20"/>
          <w:shd w:fill="f5f5f5"/>
        </w:rPr>
        <w:t xml:space="preserve">Rebuild.md</w:t>
      </w:r>
      <w:r>
        <w:t xml:space="preserve"> — step-by-step guide to recreate the entire stub stack from scratch.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rFonts w:ascii="Consolas" w:eastAsia="FangSong" w:hAnsi="Consolas" w:cs="Consolas"/>
          <w:sz w:val="20"/>
          <w:szCs w:val="20"/>
          <w:shd w:fill="f5f5f5"/>
        </w:rPr>
        <w:t xml:space="preserve">sqlScripts/</w:t>
      </w:r>
      <w:r>
        <w:t xml:space="preserve"> — Python generator + SQL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INSERT</w:t>
      </w:r>
      <w:r>
        <w:t xml:space="preserve"> packages that seed at least 30 representative rows into each reverse-engineered table;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runall.sh</w:t>
      </w:r>
      <w:r>
        <w:t xml:space="preserve"> /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runall.sql</w:t>
      </w:r>
      <w:r>
        <w:t xml:space="preserve"> to load everything in one go.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rFonts w:ascii="Consolas" w:eastAsia="FangSong" w:hAnsi="Consolas" w:cs="Consolas"/>
          <w:sz w:val="20"/>
          <w:szCs w:val="20"/>
          <w:shd w:fill="f5f5f5"/>
        </w:rPr>
        <w:t xml:space="preserve">documentation/Sapiens-Analysis.docx</w:t>
      </w:r>
      <w:r>
        <w:t xml:space="preserve"> — Word version of the technical analysis for non-IBM-i stakeholders.</w:t>
      </w:r>
    </w:p>
    <w:p>
      <w:pPr>
        <w:pStyle w:val="Heading3"/>
      </w:pPr>
      <w:r>
        <w:t xml:space="preserve">1.4 Process learnings captured as memory</w:t>
      </w:r>
    </w:p>
    <w:p>
      <w:r>
        <w:t xml:space="preserve">Persistent memory records now cover four PUI/EJS gotchas surfaced during this work (Apache cache headers, inline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&lt;script&gt;</w:t>
      </w:r>
      <w:r>
        <w:t xml:space="preserve"> non-execution, proxy/XHR limitation, deployment paths). Future tasks pick these up without re-discovering them.</w:t>
      </w:r>
    </w:p>
    <w:p/>
    <w:p>
      <w:pPr>
        <w:pStyle w:val="Heading2"/>
      </w:pPr>
      <w:r>
        <w:t xml:space="preserve">2. What we received from Sapiens</w:t>
      </w:r>
    </w:p>
    <w:p>
      <w:r>
        <w:rPr>
          <w:b/>
          <w:bCs/>
        </w:rPr>
        <w:t xml:space="preserve">Two artefacts, total: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File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Type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agencysrc.zip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Source bundle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7 driver RPG/SQLRPG programs, 9 DDS members, 21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/COPY</w:t>
            </w:r>
            <w:r>
              <w:t xml:space="preserve"> service modules. </w:t>
            </w:r>
            <w:r>
              <w:rPr>
                <w:b/>
                <w:bCs/>
              </w:rPr>
              <w:t xml:space="preserve">No PFs, LFs, binding directories, or runtime program objects.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Agency Info updated.docx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Word doc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High-level prose describing the Agency module purpose and screen flow. No table layouts, no field-level specs, no record-format documentation.</w:t>
            </w:r>
          </w:p>
        </w:tc>
      </w:tr>
    </w:tbl>
    <w:p/>
    <w:p>
      <w:pPr>
        <w:pStyle w:val="Heading2"/>
      </w:pPr>
      <w:r>
        <w:t xml:space="preserve">3. Missing artefacts and how we worked around them</w:t>
      </w:r>
    </w:p>
    <w:p>
      <w:pPr>
        <w:pStyle w:val="Heading3"/>
      </w:pPr>
      <w:r>
        <w:t xml:space="preserve">3.1 Physical files (DDS/PF source)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Missing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Why it mattered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How we mitigated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WMAGP</w:t>
            </w:r>
            <w:r>
              <w:t xml:space="preserve"> (Agency master),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SMCOP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WMAAP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WDF2P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WMCZP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WDELP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Every driver opens these. Without them, nothing compiles.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Reverse-engineered 19 PFs (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wmagp.pf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smcop.pf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wmaap.pf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wdf2p.pf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wmczp.pf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wdelp.pf</w:t>
            </w:r>
            <w:r>
              <w:t xml:space="preserve">, plus 13 trigger-related: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szq1p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wmahp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wmcmp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wmcdp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wdpap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wamcp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wdehp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wmshp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wxelp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wmemp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sdcmp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wmeap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wibifp</w:t>
            </w:r>
            <w:r>
              <w:t xml:space="preserve">) by inferring fields, lengths, and decimals from RPG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extName</w:t>
            </w:r>
            <w:r>
              <w:t xml:space="preserve"> references, F-spec reads, and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/COPY</w:t>
            </w:r>
            <w:r>
              <w:t xml:space="preserve"> data structure templates.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Field layouts are best-guess. If Sapiens' production schemas differ in length, decimal places, or null-capability, the stub PFs will need to be regenerated.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FFFFF" w:sz="0"/>
              <w:left w:val="single" w:color="a3a3a3" w:sz="18"/>
              <w:bottom w:val="single" w:color="FFFFFF" w:sz="0"/>
              <w:right w:val="single" w:color="FFFFFF" w:sz="0"/>
            </w:tcBorders>
            <w:tcMar>
              <w:top w:type="dxa" w:w="140"/>
              <w:left w:type="dxa" w:w="260"/>
              <w:bottom w:type="dxa" w:w="0"/>
              <w:right w:type="dxa" w:w="130"/>
            </w:tcMar>
          </w:tcPr>
          <w:p>
            <w:pPr>
              <w:pStyle w:val="BlockquoteText"/>
              <w:spacing w:before="0"/>
            </w:pPr>
            <w:r>
              <w:rPr>
                <w:b/>
                <w:bCs/>
              </w:rPr>
              <w:t xml:space="preserve">Ask Sapiens for:</w:t>
            </w:r>
            <w:r>
              <w:t xml:space="preserve"> the DDS source (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*.pf</w:t>
            </w:r>
            <w:r>
              <w:t xml:space="preserve">/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*.lf</w:t>
            </w:r>
            <w:r>
              <w:t xml:space="preserve">) for every file referenced by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extName(...)</w:t>
            </w:r>
            <w:r>
              <w:t xml:space="preserve"> or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F</w:t>
            </w:r>
            <w:r>
              <w:t xml:space="preserve"> specs in the shipped drivers. Even just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DSPFFD</w:t>
            </w:r>
            <w:r>
              <w:t xml:space="preserve"> output for each table would let us verify field-level fidelity.</w:t>
            </w:r>
          </w:p>
        </w:tc>
      </w:tr>
    </w:tbl>
    <w:p>
      <w:pPr>
        <w:pStyle w:val="Heading3"/>
      </w:pPr>
      <w:r>
        <w:t xml:space="preserve">3.2 Logical files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Missing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Why it mattered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How we mitigated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WMAGL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WMAGL1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SMCOL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WMAAL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WDF2L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WMCZL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The drivers read via keyed LFs, not the PFs directly. Without LFs the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KEYED</w:t>
            </w:r>
            <w:r>
              <w:t xml:space="preserve"> open fails and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CHAIN</w:t>
            </w:r>
            <w:r>
              <w:t xml:space="preserve">/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READ</w:t>
            </w:r>
            <w:r>
              <w:t xml:space="preserve"> semantics are different.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Built six LFs over the reverse-engineered PFs, picking keys based on how each driver uses them (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SETLL</w:t>
            </w:r>
            <w:r>
              <w:t xml:space="preserve">/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CHAIN</w:t>
            </w:r>
            <w:r>
              <w:t xml:space="preserve"> argument patterns).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If the production LFs include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SELECT/OMIT</w:t>
            </w:r>
            <w:r>
              <w:t xml:space="preserve">, alternate key sequences, or join LFs we don't know about, runtime filtering will diverge.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FFFFF" w:sz="0"/>
              <w:left w:val="single" w:color="a3a3a3" w:sz="18"/>
              <w:bottom w:val="single" w:color="FFFFFF" w:sz="0"/>
              <w:right w:val="single" w:color="FFFFFF" w:sz="0"/>
            </w:tcBorders>
            <w:tcMar>
              <w:top w:type="dxa" w:w="140"/>
              <w:left w:type="dxa" w:w="260"/>
              <w:bottom w:type="dxa" w:w="0"/>
              <w:right w:type="dxa" w:w="130"/>
            </w:tcMar>
          </w:tcPr>
          <w:p>
            <w:pPr>
              <w:pStyle w:val="BlockquoteText"/>
              <w:spacing w:before="0"/>
            </w:pPr>
            <w:r>
              <w:rPr>
                <w:b/>
                <w:bCs/>
              </w:rPr>
              <w:t xml:space="preserve">Ask Sapiens for:</w:t>
            </w:r>
            <w:r>
              <w:t xml:space="preserve"> the LF DDS source. LFs are the only way to know the real index ordering and any built-in record selection.</w:t>
            </w:r>
          </w:p>
        </w:tc>
      </w:tr>
    </w:tbl>
    <w:p>
      <w:pPr>
        <w:pStyle w:val="Heading3"/>
      </w:pPr>
      <w:r>
        <w:t xml:space="preserve">3.3 EJS Rich Display File integration through the demo proxy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Missing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Why it mattered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How we mitigated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 working pattern for EJS templates on this demo environment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The CoderFlow proxy at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coderdemo:3000</w:t>
            </w:r>
            <w:r>
              <w:t xml:space="preserve"> does not forward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XMLHttpRequest</w:t>
            </w:r>
            <w:r>
              <w:t xml:space="preserve"> fetches to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/profoundui/userdata/*</w:t>
            </w:r>
            <w:r>
              <w:t xml:space="preserve">, but PUI's runtime fetches EJS templates via XHR. Result: every template URL returned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failed to fetch template</w:t>
            </w:r>
            <w:r>
              <w:t xml:space="preserve">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Inlined the agency template content + CSS into a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&lt;script&gt;</w:t>
            </w:r>
            <w:r>
              <w:t xml:space="preserve"> block inside each Genie skin's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start.html</w:t>
            </w:r>
            <w:r>
              <w:t xml:space="preserve"> and patched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XMLHttpRequest</w:t>
            </w:r>
            <w:r>
              <w:t xml:space="preserve"> to synthesize a 200 response for the template URL.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Demo-grade. The "real" fix is server-side (teach the proxy to forward XHR or mount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userdata/</w:t>
            </w:r>
            <w:r>
              <w:t xml:space="preserve"> differently). The shim lives outside the source repo and would need to be re-applied on a fresh IBM i environment.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FFFFF" w:sz="0"/>
              <w:left w:val="single" w:color="a3a3a3" w:sz="18"/>
              <w:bottom w:val="single" w:color="FFFFFF" w:sz="0"/>
              <w:right w:val="single" w:color="FFFFFF" w:sz="0"/>
            </w:tcBorders>
            <w:tcMar>
              <w:top w:type="dxa" w:w="140"/>
              <w:left w:type="dxa" w:w="260"/>
              <w:bottom w:type="dxa" w:w="0"/>
              <w:right w:type="dxa" w:w="130"/>
            </w:tcMar>
          </w:tcPr>
          <w:p>
            <w:pPr>
              <w:pStyle w:val="BlockquoteText"/>
              <w:spacing w:before="0"/>
            </w:pPr>
            <w:r>
              <w:rPr>
                <w:b/>
                <w:bCs/>
              </w:rPr>
              <w:t xml:space="preserve">Action item (PL side, not Sapiens):</w:t>
            </w:r>
            <w:r>
              <w:t xml:space="preserve"> patch the proxy so PUI's XHR template fetches reach Apache like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&lt;link&gt;</w:t>
            </w:r>
            <w:r>
              <w:t xml:space="preserve">/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&lt;script&gt;</w:t>
            </w:r>
            <w:r>
              <w:t xml:space="preserve"> fetches do.</w:t>
            </w:r>
          </w:p>
        </w:tc>
      </w:tr>
    </w:tbl>
    <w:p>
      <w:pPr>
        <w:pStyle w:val="Heading3"/>
      </w:pPr>
      <w:r>
        <w:t xml:space="preserve">3.4 Service-program runtime objects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Missing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Why it mattered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How we mitigated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Compiled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*MODULE</w:t>
            </w:r>
            <w:r>
              <w:t xml:space="preserve">/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*SRVPGM</w:t>
            </w:r>
            <w:r>
              <w:t xml:space="preserve">/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*BNDDIR</w:t>
            </w:r>
            <w:r>
              <w:t xml:space="preserve"> for the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SPR*</w:t>
            </w:r>
            <w:r>
              <w:t xml:space="preserve"> service stack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WTAGTCFG</w:t>
            </w:r>
            <w:r>
              <w:t xml:space="preserve"> references procedures like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runErrorWithBranding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getAtriumUser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qcmdexc_run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runSql</w:t>
            </w:r>
            <w:r>
              <w:t xml:space="preserve">, etc. Without bound implementations the binder errors out.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Built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sapstubs.rpgle</w:t>
            </w:r>
            <w:r>
              <w:t xml:space="preserve"> with one no-op or value-returning procedure for every exported prototype, packaged into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SAPSTUBS *SRVPGM</w:t>
            </w:r>
            <w:r>
              <w:t xml:space="preserve"> and registered in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STBNDDIR</w:t>
            </w:r>
            <w:r>
              <w:t xml:space="preserve"> /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WTGRPCFG</w:t>
            </w:r>
            <w:r>
              <w:t xml:space="preserve"> binding directories.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All business logic inside those procedures is absent. Anything that </w:t>
            </w:r>
            <w:r>
              <w:rPr>
                <w:b/>
                <w:bCs/>
              </w:rPr>
              <w:t xml:space="preserve">depends</w:t>
            </w:r>
            <w:r>
              <w:t xml:space="preserve"> on real branding, real Atrium auth, real SQL via the helper, etc., will silently return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*BLANKS</w:t>
            </w:r>
            <w:r>
              <w:t xml:space="preserve"> /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0</w:t>
            </w:r>
            <w:r>
              <w:t xml:space="preserve">. The current screens don't depend on the real behaviour, but extending the demo will hit these stubs quickly.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FFFFF" w:sz="0"/>
              <w:left w:val="single" w:color="a3a3a3" w:sz="18"/>
              <w:bottom w:val="single" w:color="FFFFFF" w:sz="0"/>
              <w:right w:val="single" w:color="FFFFFF" w:sz="0"/>
            </w:tcBorders>
            <w:tcMar>
              <w:top w:type="dxa" w:w="140"/>
              <w:left w:type="dxa" w:w="260"/>
              <w:bottom w:type="dxa" w:w="0"/>
              <w:right w:type="dxa" w:w="130"/>
            </w:tcMar>
          </w:tcPr>
          <w:p>
            <w:pPr>
              <w:pStyle w:val="BlockquoteText"/>
              <w:spacing w:before="0"/>
            </w:pPr>
            <w:r>
              <w:rPr>
                <w:b/>
                <w:bCs/>
              </w:rPr>
              <w:t xml:space="preserve">Ask Sapiens for:</w:t>
            </w:r>
            <w:r>
              <w:t xml:space="preserve"> the source for the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SPR*</w:t>
            </w:r>
            <w:r>
              <w:t xml:space="preserve"> service programs (or at least exported names and intended return semantics). Even pseudo-code per procedure is enough to flesh out the stubs.</w:t>
            </w:r>
          </w:p>
        </w:tc>
      </w:tr>
    </w:tbl>
    <w:p>
      <w:pPr>
        <w:pStyle w:val="Heading3"/>
      </w:pPr>
      <w:r>
        <w:t xml:space="preserve">3.5 EXTPGM runtime callees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Missing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Why it mattered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How we mitigated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Compiled programs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W4020R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SRCHKPGM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RTVCLTID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STRTVDTA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STWRTDTA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WTAGTCFG</w:t>
            </w:r>
            <w:r>
              <w:t xml:space="preserve"> and other drivers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CALL</w:t>
            </w:r>
            <w:r>
              <w:t xml:space="preserve"> these by name. Missing-program-object errors at run time.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Wrote one-line RPGLE stub modules for each, returning blanks/zeros via the same parameter signature inferred from the caller.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Behavior of these programs is unknown. They appear to be cross-module lookups (client ID retrieval, search dispatch, generic read/write). For a real production port we need them.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FFFFF" w:sz="0"/>
              <w:left w:val="single" w:color="a3a3a3" w:sz="18"/>
              <w:bottom w:val="single" w:color="FFFFFF" w:sz="0"/>
              <w:right w:val="single" w:color="FFFFFF" w:sz="0"/>
            </w:tcBorders>
            <w:tcMar>
              <w:top w:type="dxa" w:w="140"/>
              <w:left w:type="dxa" w:w="260"/>
              <w:bottom w:type="dxa" w:w="0"/>
              <w:right w:type="dxa" w:w="130"/>
            </w:tcMar>
          </w:tcPr>
          <w:p>
            <w:pPr>
              <w:pStyle w:val="BlockquoteText"/>
              <w:spacing w:before="0"/>
            </w:pPr>
            <w:r>
              <w:rPr>
                <w:b/>
                <w:bCs/>
              </w:rPr>
              <w:t xml:space="preserve">Ask Sapiens for:</w:t>
            </w:r>
            <w:r>
              <w:t xml:space="preserve"> the source (or at least call-spec documentation) for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W4020R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SRCHKPGM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RTVCLTID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STRTVDTA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STWRTDTA</w:t>
            </w:r>
            <w:r>
              <w:t xml:space="preserve">.</w:t>
            </w:r>
          </w:p>
        </w:tc>
      </w:tr>
    </w:tbl>
    <w:p>
      <w:pPr>
        <w:pStyle w:val="Heading3"/>
      </w:pPr>
      <w:r>
        <w:t xml:space="preserve">3.6 Sample data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Missing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Why it mattered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How we mitigated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Production-shaped seed rows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Empty tables can't demo filtering, status badges, or counts.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Wrote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sqlScripts/gen_sample_data.py</w:t>
            </w:r>
            <w:r>
              <w:t xml:space="preserve"> and per-table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*.sql</w:t>
            </w:r>
            <w:r>
              <w:t xml:space="preserve"> packages; loaded ≥30 rows into every reverse-engineered PF with realistic agency names, FEINs, contacts, phone numbers, cities/states, and status mixes (A/I/H/P).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Synthetic, not anonymized real data. Distribution may not match what Sapiens' QA scenarios assume.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FFFFF" w:sz="0"/>
              <w:left w:val="single" w:color="a3a3a3" w:sz="18"/>
              <w:bottom w:val="single" w:color="FFFFFF" w:sz="0"/>
              <w:right w:val="single" w:color="FFFFFF" w:sz="0"/>
            </w:tcBorders>
            <w:tcMar>
              <w:top w:type="dxa" w:w="140"/>
              <w:left w:type="dxa" w:w="260"/>
              <w:bottom w:type="dxa" w:w="0"/>
              <w:right w:type="dxa" w:w="130"/>
            </w:tcMar>
          </w:tcPr>
          <w:p>
            <w:pPr>
              <w:pStyle w:val="BlockquoteText"/>
              <w:spacing w:before="0"/>
            </w:pPr>
            <w:r>
              <w:rPr>
                <w:b/>
                <w:bCs/>
              </w:rPr>
              <w:t xml:space="preserve">Ask Sapiens for:</w:t>
            </w:r>
            <w:r>
              <w:t xml:space="preserve"> a dev-environment data extract (even 50 obfuscated rows per table) so the demo shows real data shapes.</w:t>
            </w:r>
          </w:p>
        </w:tc>
      </w:tr>
    </w:tbl>
    <w:p>
      <w:pPr>
        <w:pStyle w:val="Heading3"/>
      </w:pPr>
      <w:r>
        <w:t xml:space="preserve">3.7 The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WTAGTPRI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WTAGTPROD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WTAGTSRVRT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WTAGTRTFND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WTAGTCON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WTAGTASN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WTVSTTRK</w:t>
      </w:r>
      <w:r>
        <w:t xml:space="preserve"> drivers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Missing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Why it mattered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How we mitigated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Compiled objects for the other Agency-module screens. Their source IS shipped but they depend on the same missing PFs/LFs/services as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WTAGTCFG</w:t>
            </w:r>
            <w:r>
              <w:t xml:space="preserve">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Without these, the only working menu items are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4</w:t>
            </w:r>
            <w:r>
              <w:t xml:space="preserve"> and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5</w:t>
            </w:r>
            <w:r>
              <w:t xml:space="preserve">. The Word doc references the full screen flow but we can't demo it.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Not yet mitigated.</w:t>
            </w:r>
            <w:r>
              <w:t xml:space="preserve"> Listed as the next phase if/when the user wants more than the configuration screen. The Sapiens-shipped RPG source is in the repo and ready, the dependency surface is mapped in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Sapiens-Analysis.md</w:t>
            </w:r>
            <w:r>
              <w:t xml:space="preserve"> §3, and the same stubbing pattern would apply.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Effort. Each additional driver pulls in 1-3 more PFs and a handful of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/COPY</w:t>
            </w:r>
            <w:r>
              <w:t xml:space="preserve"> procedures to stub.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FFFFF" w:sz="0"/>
              <w:left w:val="single" w:color="a3a3a3" w:sz="18"/>
              <w:bottom w:val="single" w:color="FFFFFF" w:sz="0"/>
              <w:right w:val="single" w:color="FFFFFF" w:sz="0"/>
            </w:tcBorders>
            <w:tcMar>
              <w:top w:type="dxa" w:w="140"/>
              <w:left w:type="dxa" w:w="260"/>
              <w:bottom w:type="dxa" w:w="0"/>
              <w:right w:type="dxa" w:w="130"/>
            </w:tcMar>
          </w:tcPr>
          <w:p>
            <w:pPr>
              <w:pStyle w:val="BlockquoteText"/>
              <w:spacing w:before="0"/>
            </w:pPr>
            <w:r>
              <w:rPr>
                <w:b/>
                <w:bCs/>
              </w:rPr>
              <w:t xml:space="preserve">Ask Sapiens for:</w:t>
            </w:r>
            <w:r>
              <w:t xml:space="preserve"> clarification on whether these drivers share the same data files as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WTAGTCFG</w:t>
            </w:r>
            <w:r>
              <w:t xml:space="preserve"> (likely yes for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WMAGP</w:t>
            </w:r>
            <w:r>
              <w:t xml:space="preserve">) or open additional tables not yet on our list.</w:t>
            </w:r>
          </w:p>
        </w:tc>
      </w:tr>
    </w:tbl>
    <w:p>
      <w:pPr>
        <w:pStyle w:val="Heading3"/>
      </w:pPr>
      <w:r>
        <w:t xml:space="preserve">3.8 Other smaller gaps (not blocking the current demo)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Missing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Trigger-buffer DS layouts referenced by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SPRtrigger</w:t>
            </w:r>
            <w:r>
              <w:t xml:space="preserve">/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SPRtrig</w:t>
            </w:r>
            <w:r>
              <w:t xml:space="preserve"> (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SZQ1P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WMAHP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WMCMP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WMCDP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WDPAP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WAMCP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WDEHP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WMSHP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WXELP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WMEMP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SDCMP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WMEAP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WIBIFP</w:t>
            </w:r>
            <w:r>
              <w:t xml:space="preserve">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Placeholder PFs created so the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extName(...)</w:t>
            </w:r>
            <w:r>
              <w:t xml:space="preserve"> data structures resolve. No trigger logic ever runs in the demo.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WDEAP_HLD</w:t>
            </w:r>
            <w:r>
              <w:t xml:space="preserve"> table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Created as a SQL-defined table (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wdeap_hld.table.sql</w:t>
            </w:r>
            <w:r>
              <w:t xml:space="preserve">) since the original was likely SQL-created in production.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Sapiens branding (logos / official color codes)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Pulled colors and font choices from Sapiens.com (navy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#0D256F</w:t>
            </w:r>
            <w:r>
              <w:t xml:space="preserve">, orange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#FF5900</w:t>
            </w:r>
            <w:r>
              <w:t xml:space="preserve">, cream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#F6ECDB</w:t>
            </w:r>
            <w:r>
              <w:t xml:space="preserve">, DM Sans + Inter). No official brand asset bundle.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FFFFFF" w:sz="0"/>
              <w:left w:val="single" w:color="a3a3a3" w:sz="18"/>
              <w:bottom w:val="single" w:color="FFFFFF" w:sz="0"/>
              <w:right w:val="single" w:color="FFFFFF" w:sz="0"/>
            </w:tcBorders>
            <w:tcMar>
              <w:top w:type="dxa" w:w="140"/>
              <w:left w:type="dxa" w:w="260"/>
              <w:bottom w:type="dxa" w:w="0"/>
              <w:right w:type="dxa" w:w="130"/>
            </w:tcMar>
          </w:tcPr>
          <w:p>
            <w:pPr>
              <w:pStyle w:val="BlockquoteText"/>
              <w:spacing w:before="0"/>
            </w:pPr>
            <w:r>
              <w:rPr>
                <w:b/>
                <w:bCs/>
              </w:rPr>
              <w:t xml:space="preserve">Ask Sapiens for:</w:t>
            </w:r>
            <w:r>
              <w:t xml:space="preserve"> an official brand kit if the demo will be shown to their team.</w:t>
            </w:r>
          </w:p>
        </w:tc>
      </w:tr>
    </w:tbl>
    <w:p/>
    <w:p>
      <w:pPr>
        <w:pStyle w:val="Heading2"/>
      </w:pPr>
      <w:r>
        <w:t xml:space="preserve">4. Suggested ask to Sapiens</w:t>
      </w:r>
    </w:p>
    <w:p>
      <w:r>
        <w:t xml:space="preserve">A consolidated request — single email, one prioritised list: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DDS for every PF and LF referenced by the shipped drivers.</w:t>
      </w:r>
      <w:r>
        <w:t xml:space="preserve"> This is by far the highest-value ask; everything else is downstream of correct table layouts.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 (or build artefacts) for the </w:t>
      </w: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SPR*</w:t>
      </w:r>
      <w:r>
        <w:rPr>
          <w:b/>
          <w:bCs/>
        </w:rPr>
        <w:t xml:space="preserve"> service program stack.</w:t>
      </w:r>
      <w:r>
        <w:t xml:space="preserve"> Even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SCAN</w:t>
      </w:r>
      <w:r>
        <w:t xml:space="preserve">-able RPG with bodies removed would tell us return-value semantics.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 for the EXTPGM callees</w:t>
      </w:r>
      <w:r>
        <w:t xml:space="preserve">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W4020R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SRCHKPGM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RTVCLTID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STRTVDTA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STWRTDTA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small data extract</w:t>
      </w:r>
      <w:r>
        <w:t xml:space="preserve"> (50 rows per table is fine, obfuscated PII).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Official brand assets</w:t>
      </w:r>
      <w:r>
        <w:t xml:space="preserve"> (logo SVG/PNG and the canonical hex codes Sapiens uses internally).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Confirmation</w:t>
      </w:r>
      <w:r>
        <w:t xml:space="preserve"> that the other Agency screens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WTAGTASN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WTAGTCON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WTAGTPRI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WTAGTPROD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WTAGTRTFND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WTAGTSRVRT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WTVSTTRK</w:t>
      </w:r>
      <w:r>
        <w:t xml:space="preserve">) share the same data file set or, if not, the missing tables they open.</w:t>
      </w:r>
    </w:p>
    <w:p>
      <w:r>
        <w:t xml:space="preserve">A draft of this email already lives at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/task-output/email-to-sapiens.md</w:t>
      </w:r>
      <w:r>
        <w:t xml:space="preserve"> from the earlier turn — worth refreshing with the items above before sending.</w:t>
      </w:r>
    </w:p>
    <w:p/>
    <w:p>
      <w:pPr>
        <w:pStyle w:val="Heading2"/>
      </w:pPr>
      <w:r>
        <w:t xml:space="preserve">5. Risk summary</w:t>
      </w:r>
    </w:p>
    <w:p>
      <w:r>
        <w:t xml:space="preserve">The current demo runs cleanly </w:t>
      </w:r>
      <w:r>
        <w:rPr>
          <w:b/>
          <w:bCs/>
        </w:rPr>
        <w:t xml:space="preserve">as a demo</w:t>
      </w:r>
      <w:r>
        <w:t xml:space="preserve">. It is not a substitute for an integration build:</w:t>
      </w:r>
    </w:p>
    <w:p>
      <w:pPr>
        <w:pStyle w:val="ListParagraph"/>
        <w:pStyle w:val="ListParagraph"/>
        <w:numPr>
          <w:ilvl w:val="0"/>
          <w:numId w:val="1"/>
        </w:numPr>
      </w:pPr>
      <w:r>
        <w:t xml:space="preserve">Every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SPR*</w:t>
      </w:r>
      <w:r>
        <w:t xml:space="preserve"> procedure call returns a placeholder. Real business logic is absent.</w:t>
      </w:r>
    </w:p>
    <w:p>
      <w:pPr>
        <w:pStyle w:val="ListParagraph"/>
        <w:pStyle w:val="ListParagraph"/>
        <w:numPr>
          <w:ilvl w:val="0"/>
          <w:numId w:val="1"/>
        </w:numPr>
      </w:pPr>
      <w:r>
        <w:t xml:space="preserve">Field layouts are inferred. A column-width mismatch could cause subtle data-truncation bugs once real data lands.</w:t>
      </w:r>
    </w:p>
    <w:p>
      <w:pPr>
        <w:pStyle w:val="ListParagraph"/>
        <w:pStyle w:val="ListParagraph"/>
        <w:numPr>
          <w:ilvl w:val="0"/>
          <w:numId w:val="1"/>
        </w:numPr>
      </w:pPr>
      <w:r>
        <w:t xml:space="preserve">Triggers, error-popup behaviour, branding logic, and Atrium auth are all stubbed to no-ops.</w:t>
      </w:r>
    </w:p>
    <w:p>
      <w:pPr>
        <w:pStyle w:val="ListParagraph"/>
        <w:pStyle w:val="ListParagraph"/>
        <w:numPr>
          <w:ilvl w:val="0"/>
          <w:numId w:val="1"/>
        </w:numPr>
      </w:pPr>
      <w:r>
        <w:t xml:space="preserve">The EJS proxy workaround (option 5) is a client-side shim, not a server-side fix.</w:t>
      </w:r>
    </w:p>
    <w:p>
      <w:r>
        <w:t xml:space="preserve">For a production port of the Agency module, treat this repo as a scaffold and replace the reverse-engineered pieces in lock-step with whatever Sapiens delivers.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4" w:hanging="403"/>
      </w:pPr>
    </w:lvl>
    <w:lvl w:ilvl="1" w15:tentative="1">
      <w:start w:val="1"/>
      <w:numFmt w:val="lowerRoman"/>
      <w:lvlText w:val="%2."/>
      <w:lvlJc w:val="start"/>
      <w:pPr>
        <w:ind w:left="1209" w:hanging="403"/>
      </w:pPr>
    </w:lvl>
    <w:lvl w:ilvl="2" w15:tentative="1">
      <w:start w:val="1"/>
      <w:numFmt w:val="lowerLetter"/>
      <w:lvlText w:val="%3."/>
      <w:lvlJc w:val="start"/>
      <w:pPr>
        <w:ind w:left="1814" w:hanging="403"/>
      </w:pPr>
    </w:lvl>
    <w:lvl w:ilvl="3" w15:tentative="1">
      <w:start w:val="1"/>
      <w:numFmt w:val="lowerLetter"/>
      <w:lvlText w:val="%4."/>
      <w:lvlJc w:val="start"/>
      <w:pPr>
        <w:ind w:left="2419" w:hanging="403"/>
      </w:pPr>
    </w:lvl>
    <w:lvl w:ilvl="4" w15:tentative="1">
      <w:start w:val="1"/>
      <w:numFmt w:val="lowerLetter"/>
      <w:lvlText w:val="%5."/>
      <w:lvlJc w:val="start"/>
      <w:pPr>
        <w:ind w:left="3024" w:hanging="403"/>
      </w:pPr>
    </w:lvl>
    <w:lvl w:ilvl="5" w15:tentative="1">
      <w:start w:val="1"/>
      <w:numFmt w:val="lowerLetter"/>
      <w:lvlText w:val="%6."/>
      <w:lvlJc w:val="start"/>
      <w:pPr>
        <w:ind w:left="3628" w:hanging="403"/>
      </w:pPr>
    </w:lvl>
    <w:lvl w:ilvl="6" w15:tentative="1">
      <w:start w:val="1"/>
      <w:numFmt w:val="lowerLetter"/>
      <w:lvlText w:val="%7."/>
      <w:lvlJc w:val="start"/>
      <w:pPr>
        <w:ind w:left="4233" w:hanging="403"/>
      </w:pPr>
    </w:lvl>
    <w:lvl w:ilvl="7" w15:tentative="1">
      <w:start w:val="1"/>
      <w:numFmt w:val="lowerLetter"/>
      <w:lvlText w:val="%8."/>
      <w:lvlJc w:val="start"/>
      <w:pPr>
        <w:ind w:left="4838" w:hanging="403"/>
      </w:pPr>
    </w:lvl>
    <w:lvl w:ilvl="8" w15:tentative="1">
      <w:start w:val="1"/>
      <w:numFmt w:val="lowerLetter"/>
      <w:lvlText w:val="%9."/>
      <w:lvlJc w:val="start"/>
      <w:pPr>
        <w:ind w:left="5443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</w:rPr>
    </w:rPrDefault>
    <w:pPrDefault>
      <w:pPr>
        <w:spacing w:line="360" w:before="6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line="360" w:before="60" w:after="180"/>
      <w:jc w:val="center"/>
    </w:pPr>
    <w:rPr>
      <w:rFonts w:ascii="Times New Roman" w:eastAsia="SimSun" w:hAnsi="Times New Roman" w:cs="Times New Roman"/>
      <w:b/>
      <w:bCs/>
      <w:color w:val="171717"/>
      <w:sz w:val="44"/>
      <w:szCs w:val="44"/>
    </w:rPr>
  </w:style>
  <w:style w:type="paragraph" w:styleId="Heading2">
    <w:name w:val="Heading 2"/>
    <w:basedOn w:val="Normal"/>
    <w:next w:val="Normal"/>
    <w:pPr>
      <w:spacing w:line="360" w:before="380" w:after="100"/>
      <w:jc w:val="left"/>
    </w:pPr>
    <w:rPr>
      <w:rFonts w:ascii="Times New Roman" w:eastAsia="SimSun" w:hAnsi="Times New Roman" w:cs="Times New Roman"/>
      <w:b/>
      <w:bCs/>
      <w:color w:val="171717"/>
      <w:sz w:val="36"/>
      <w:szCs w:val="36"/>
    </w:rPr>
  </w:style>
  <w:style w:type="paragraph" w:styleId="Heading3">
    <w:name w:val="Heading 3"/>
    <w:basedOn w:val="Normal"/>
    <w:next w:val="Normal"/>
    <w:pPr>
      <w:spacing w:line="360" w:before="340" w:after="80"/>
      <w:jc w:val="left"/>
    </w:pPr>
    <w:rPr>
      <w:rFonts w:ascii="Times New Roman" w:eastAsia="SimSun" w:hAnsi="Times New Roman" w:cs="Times New Roman"/>
      <w:b/>
      <w:bCs/>
      <w:color w:val="171717"/>
      <w:sz w:val="32"/>
      <w:szCs w:val="32"/>
    </w:rPr>
  </w:style>
  <w:style w:type="paragraph" w:styleId="Heading4">
    <w:name w:val="Heading 4"/>
    <w:basedOn w:val="Normal"/>
    <w:next w:val="Normal"/>
    <w:pPr>
      <w:spacing w:line="360" w:before="300" w:after="60"/>
      <w:jc w:val="left"/>
    </w:pPr>
    <w:rPr>
      <w:rFonts w:ascii="Times New Roman" w:eastAsia="SimSun" w:hAnsi="Times New Roman" w:cs="Times New Roman"/>
      <w:b/>
      <w:bCs/>
      <w:color w:val="171717"/>
      <w:sz w:val="28"/>
      <w:szCs w:val="28"/>
    </w:rPr>
  </w:style>
  <w:style w:type="paragraph" w:styleId="Heading5">
    <w:name w:val="Heading 5"/>
    <w:basedOn w:val="Normal"/>
    <w:next w:val="Normal"/>
    <w:pPr>
      <w:spacing w:line="360" w:before="260" w:after="40"/>
      <w:jc w:val="left"/>
    </w:pPr>
    <w:rPr>
      <w:rFonts w:ascii="Times New Roman" w:eastAsia="SimSun" w:hAnsi="Times New Roman" w:cs="Times New Roman"/>
      <w:b/>
      <w:bCs/>
      <w:color w:val="171717"/>
      <w:sz w:val="26"/>
      <w:szCs w:val="26"/>
    </w:rPr>
  </w:style>
  <w:style w:type="paragraph" w:styleId="Heading6">
    <w:name w:val="Heading 6"/>
    <w:basedOn w:val="Normal"/>
    <w:next w:val="Normal"/>
    <w:pPr>
      <w:spacing w:line="360" w:before="220" w:after="20"/>
      <w:jc w:val="left"/>
    </w:pPr>
    <w:rPr>
      <w:rFonts w:ascii="Times New Roman" w:eastAsia="SimSun" w:hAnsi="Times New Roman" w:cs="Times New Roman"/>
      <w:b/>
      <w:bCs/>
      <w:color w:val="171717"/>
      <w:sz w:val="24"/>
      <w:szCs w:val="24"/>
    </w:rPr>
  </w:style>
  <w:style w:type="paragraph" w:styleId="ListParagraph">
    <w:name w:val="List Paragraph"/>
    <w:basedOn w:val="Normal"/>
    <w:next w:val="Normal"/>
    <w:pPr>
      <w:spacing w:line="360" w:before="60" w:after="0"/>
    </w:pPr>
  </w:style>
  <w:style w:type="paragraph" w:styleId="CodeBlock">
    <w:name w:val="Code Block"/>
    <w:basedOn w:val="Normal"/>
    <w:next w:val="Normal"/>
    <w:pPr>
      <w:spacing w:line="276" w:before="258" w:after="222"/>
    </w:pPr>
    <w:rPr>
      <w:rFonts w:ascii="Consolas" w:eastAsia="FangSong" w:hAnsi="Consolas" w:cs="Consolas"/>
      <w:sz w:val="20"/>
      <w:szCs w:val="20"/>
    </w:rPr>
  </w:style>
  <w:style w:type="paragraph" w:styleId="BlockquoteText">
    <w:name w:val="Blockquote Text"/>
    <w:basedOn w:val="Normal"/>
    <w:next w:val="Normal"/>
    <w:pPr>
      <w:spacing w:line="360" w:before="260" w:after="0"/>
    </w:pPr>
  </w:style>
  <w:style w:type="paragraph" w:styleId="TableText">
    <w:name w:val="Table Text"/>
    <w:basedOn w:val="Normal"/>
    <w:next w:val="Normal"/>
    <w:pPr>
      <w:spacing w:before="60" w:after="60" w:line="240"/>
      <w:jc w:val="left"/>
    </w:pPr>
    <w:rPr>
      <w:sz w:val="20"/>
      <w:szCs w:val="20"/>
    </w:rPr>
  </w:style>
  <w:style w:type="paragraph" w:styleId="TableHeader">
    <w:name w:val="Table Header"/>
    <w:basedOn w:val="TableText"/>
    <w:next w:val="TableText"/>
    <w:pPr>
      <w:jc w:val="center"/>
    </w:pPr>
    <w:rPr>
      <w:b/>
      <w:bCs/>
    </w:rPr>
  </w:style>
  <w:style w:type="paragraph" w:styleId="HorizontalRule">
    <w:name w:val="Horizontal Rule"/>
    <w:basedOn w:val="Normal"/>
    <w:next w:val="Normal"/>
    <w:pPr>
      <w:spacing w:before="400" w:after="400" w:line="120"/>
    </w:pPr>
  </w:style>
  <w:style w:type="paragraph" w:styleId="MathBlock">
    <w:name w:val="Math Block"/>
    <w:basedOn w:val="Normal"/>
    <w:next w:val="Normal"/>
    <w:pPr>
      <w:spacing w:before="120" w:after="120"/>
      <w:jc w:val="center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Viewer Extension</dc:creator>
  <cp:lastModifiedBy>Markdown Viewer Extension</cp:lastModifiedBy>
  <cp:revision>1</cp:revision>
  <dcterms:created xsi:type="dcterms:W3CDTF">2026-06-09T14:54:38.140Z</dcterms:created>
  <dcterms:modified xsi:type="dcterms:W3CDTF">2026-06-09T14:54:38.140Z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