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ED22" w14:textId="0DB1845F" w:rsidR="002462FE" w:rsidRDefault="00587D0B" w:rsidP="00587D0B">
      <w:pPr>
        <w:pStyle w:val="Title"/>
        <w:rPr>
          <w:rFonts w:ascii="Lucida Bright" w:hAnsi="Lucida Bright"/>
          <w:sz w:val="40"/>
          <w:szCs w:val="40"/>
          <w:u w:val="single"/>
        </w:rPr>
      </w:pPr>
      <w:r w:rsidRPr="00587D0B">
        <w:rPr>
          <w:rFonts w:ascii="Lucida Bright" w:hAnsi="Lucida Bright"/>
          <w:sz w:val="40"/>
          <w:szCs w:val="40"/>
          <w:u w:val="single"/>
        </w:rPr>
        <w:t>Extracting polymer diffusion coefficients from scientific literature via bespoke LLM inference pipeline</w:t>
      </w:r>
    </w:p>
    <w:p w14:paraId="41AB6BA8" w14:textId="77777777" w:rsidR="00587D0B" w:rsidRDefault="00587D0B" w:rsidP="00587D0B"/>
    <w:p w14:paraId="0D7E8473" w14:textId="1BD69CCB" w:rsidR="00587D0B" w:rsidRPr="00587D0B" w:rsidRDefault="00587D0B" w:rsidP="00587D0B">
      <w:pPr>
        <w:rPr>
          <w:rFonts w:ascii="Lucida Bright" w:hAnsi="Lucida Bright"/>
          <w:u w:val="single"/>
        </w:rPr>
      </w:pPr>
      <w:r>
        <w:rPr>
          <w:rFonts w:ascii="Lucida Bright" w:hAnsi="Lucida Bright"/>
          <w:u w:val="single"/>
        </w:rPr>
        <w:t>Abstract</w:t>
      </w:r>
    </w:p>
    <w:p w14:paraId="388D88EC" w14:textId="77777777" w:rsidR="00587D0B" w:rsidRDefault="00587D0B" w:rsidP="00587D0B">
      <w:pPr>
        <w:rPr>
          <w:rFonts w:ascii="Lucida Bright" w:hAnsi="Lucida Bright"/>
        </w:rPr>
      </w:pPr>
    </w:p>
    <w:p w14:paraId="7DFCF73B" w14:textId="77777777" w:rsidR="00587D0B" w:rsidRDefault="00587D0B" w:rsidP="00587D0B">
      <w:pPr>
        <w:rPr>
          <w:rFonts w:ascii="Lucida Bright" w:hAnsi="Lucida Bright"/>
        </w:rPr>
      </w:pPr>
    </w:p>
    <w:p w14:paraId="4A881C91" w14:textId="77777777" w:rsidR="00587D0B" w:rsidRDefault="00587D0B" w:rsidP="00587D0B">
      <w:pPr>
        <w:pStyle w:val="ListParagraph"/>
        <w:numPr>
          <w:ilvl w:val="0"/>
          <w:numId w:val="1"/>
        </w:numPr>
        <w:rPr>
          <w:rFonts w:ascii="Lucida Bright" w:hAnsi="Lucida Bright"/>
        </w:rPr>
      </w:pPr>
      <w:r>
        <w:rPr>
          <w:rFonts w:ascii="Lucida Bright" w:hAnsi="Lucida Bright"/>
        </w:rPr>
        <w:t>Introduction and related work</w:t>
      </w:r>
    </w:p>
    <w:p w14:paraId="62B8EBF2" w14:textId="52AC5B4D" w:rsidR="00566DD4" w:rsidRDefault="00587D0B" w:rsidP="00587D0B">
      <w:pPr>
        <w:rPr>
          <w:rFonts w:ascii="Lucida Bright" w:hAnsi="Lucida Bright"/>
        </w:rPr>
      </w:pPr>
      <w:r>
        <w:rPr>
          <w:rFonts w:ascii="Lucida Bright" w:hAnsi="Lucida Bright"/>
        </w:rPr>
        <w:t>Every year, millions of new scientific research papers are added to the already vast library of knowledge</w:t>
      </w:r>
      <w:r w:rsidRPr="00587D0B">
        <w:rPr>
          <w:rFonts w:ascii="Lucida Bright" w:hAnsi="Lucida Bright"/>
        </w:rPr>
        <w:t xml:space="preserve"> </w:t>
      </w:r>
      <w:sdt>
        <w:sdtPr>
          <w:id w:val="-377783989"/>
          <w:citation/>
        </w:sdtPr>
        <w:sdtContent>
          <w:r w:rsidRPr="00587D0B">
            <w:rPr>
              <w:rFonts w:ascii="Lucida Bright" w:hAnsi="Lucida Bright"/>
            </w:rPr>
            <w:fldChar w:fldCharType="begin"/>
          </w:r>
          <w:r w:rsidRPr="00587D0B">
            <w:rPr>
              <w:rFonts w:ascii="Lucida Bright" w:hAnsi="Lucida Bright"/>
            </w:rPr>
            <w:instrText xml:space="preserve"> CITATION Sci26 \l 2057 </w:instrText>
          </w:r>
          <w:r w:rsidRPr="00587D0B">
            <w:rPr>
              <w:rFonts w:ascii="Lucida Bright" w:hAnsi="Lucida Bright"/>
            </w:rPr>
            <w:fldChar w:fldCharType="separate"/>
          </w:r>
          <w:r w:rsidR="006647F7" w:rsidRPr="006647F7">
            <w:rPr>
              <w:rFonts w:ascii="Lucida Bright" w:hAnsi="Lucida Bright"/>
              <w:noProof/>
            </w:rPr>
            <w:t>[1]</w:t>
          </w:r>
          <w:r w:rsidRPr="00587D0B">
            <w:rPr>
              <w:rFonts w:ascii="Lucida Bright" w:hAnsi="Lucida Bright"/>
            </w:rPr>
            <w:fldChar w:fldCharType="end"/>
          </w:r>
        </w:sdtContent>
      </w:sdt>
      <w:r>
        <w:t xml:space="preserve">. </w:t>
      </w:r>
      <w:r>
        <w:rPr>
          <w:rFonts w:ascii="Lucida Bright" w:hAnsi="Lucida Bright"/>
        </w:rPr>
        <w:t xml:space="preserve">Comprehensive literature indexing platforms such as Google Scholar are known to </w:t>
      </w:r>
      <w:r w:rsidR="00194824">
        <w:rPr>
          <w:rFonts w:ascii="Lucida Bright" w:hAnsi="Lucida Bright"/>
        </w:rPr>
        <w:t>contain</w:t>
      </w:r>
      <w:r>
        <w:rPr>
          <w:rFonts w:ascii="Lucida Bright" w:hAnsi="Lucida Bright"/>
        </w:rPr>
        <w:t xml:space="preserve"> hundreds of millions of papers </w:t>
      </w:r>
      <w:sdt>
        <w:sdtPr>
          <w:rPr>
            <w:rFonts w:ascii="Lucida Bright" w:hAnsi="Lucida Bright"/>
          </w:rPr>
          <w:id w:val="-369382644"/>
          <w:citation/>
        </w:sdtPr>
        <w:sdtContent>
          <w:r>
            <w:rPr>
              <w:rFonts w:ascii="Lucida Bright" w:hAnsi="Lucida Bright"/>
            </w:rPr>
            <w:fldChar w:fldCharType="begin"/>
          </w:r>
          <w:r>
            <w:rPr>
              <w:rFonts w:ascii="Lucida Bright" w:hAnsi="Lucida Bright"/>
            </w:rPr>
            <w:instrText xml:space="preserve"> CITATION Gus18 \l 2057 </w:instrText>
          </w:r>
          <w:r>
            <w:rPr>
              <w:rFonts w:ascii="Lucida Bright" w:hAnsi="Lucida Bright"/>
            </w:rPr>
            <w:fldChar w:fldCharType="separate"/>
          </w:r>
          <w:r w:rsidR="006647F7" w:rsidRPr="006647F7">
            <w:rPr>
              <w:rFonts w:ascii="Lucida Bright" w:hAnsi="Lucida Bright"/>
              <w:noProof/>
            </w:rPr>
            <w:t>[2]</w:t>
          </w:r>
          <w:r>
            <w:rPr>
              <w:rFonts w:ascii="Lucida Bright" w:hAnsi="Lucida Bright"/>
            </w:rPr>
            <w:fldChar w:fldCharType="end"/>
          </w:r>
        </w:sdtContent>
      </w:sdt>
      <w:r>
        <w:rPr>
          <w:rFonts w:ascii="Lucida Bright" w:hAnsi="Lucida Bright"/>
        </w:rPr>
        <w:t xml:space="preserve">. </w:t>
      </w:r>
      <w:r w:rsidR="00566DD4">
        <w:rPr>
          <w:rFonts w:ascii="Lucida Bright" w:hAnsi="Lucida Bright"/>
        </w:rPr>
        <w:t xml:space="preserve">Utilising this colossal amount of information is no easy task. We have developed advanced search engines to select relevant works, however interpreting findings and extracting data remains a highly arduous and repetitive endeavour. </w:t>
      </w:r>
    </w:p>
    <w:p w14:paraId="471B564A" w14:textId="680B63B7" w:rsidR="00587D0B" w:rsidRDefault="00566DD4" w:rsidP="00587D0B">
      <w:pPr>
        <w:rPr>
          <w:rFonts w:ascii="Lucida Bright" w:hAnsi="Lucida Bright"/>
        </w:rPr>
      </w:pPr>
      <w:r>
        <w:rPr>
          <w:rFonts w:ascii="Lucida Bright" w:hAnsi="Lucida Bright"/>
        </w:rPr>
        <w:t xml:space="preserve">One of the issues in procurement of relevant material is that current popular bibliographic databases have a somewhat shallow understanding of the actual content of the papers they store. For each paper, a limited amount of metadata is held, for instance it’s title, authors, field and keywords. Some papers are now being stored and presented in HTML format, which allows the actual body of the paper to be read and understood by a computer, however many are stored as PDFs, hence their content is essentially “trapped” in an unstructured form. </w:t>
      </w:r>
    </w:p>
    <w:p w14:paraId="1621DCE1" w14:textId="52744CB1" w:rsidR="00566DD4" w:rsidRDefault="00194824" w:rsidP="00587D0B">
      <w:pPr>
        <w:rPr>
          <w:rFonts w:ascii="Lucida Bright" w:hAnsi="Lucida Bright"/>
        </w:rPr>
      </w:pPr>
      <w:r>
        <w:rPr>
          <w:rFonts w:ascii="Lucida Bright" w:hAnsi="Lucida Bright"/>
        </w:rPr>
        <w:t xml:space="preserve">De-obfuscating this unstructured </w:t>
      </w:r>
      <w:r>
        <w:rPr>
          <w:rFonts w:ascii="Lucida Bright" w:hAnsi="Lucida Bright"/>
        </w:rPr>
        <w:t xml:space="preserve">information and </w:t>
      </w:r>
      <w:r>
        <w:rPr>
          <w:rFonts w:ascii="Lucida Bright" w:hAnsi="Lucida Bright"/>
        </w:rPr>
        <w:t xml:space="preserve">data is </w:t>
      </w:r>
      <w:r>
        <w:rPr>
          <w:rFonts w:ascii="Lucida Bright" w:hAnsi="Lucida Bright"/>
        </w:rPr>
        <w:t>a blight to researchers as it is extremely time-consuming and error prone. There are majorly two challenges to overcome in order to utilise the scientific literature optimally: the first is the problem of representation. PDFs (Portable Document Format) are an unstructured form of data as the meaning we infer from them is derived optically: we interpret the symbols on the page as language and follow the writing and images with our chain of thought. This kind of representation does not lend itself to computer interpretation as there are no strictly defined relationships between different parts of the page.</w:t>
      </w:r>
    </w:p>
    <w:p w14:paraId="086D6A2B" w14:textId="77777777" w:rsidR="006647F7" w:rsidRDefault="00194824" w:rsidP="00587D0B">
      <w:pPr>
        <w:rPr>
          <w:rFonts w:ascii="Lucida Bright" w:hAnsi="Lucida Bright"/>
        </w:rPr>
      </w:pPr>
      <w:r>
        <w:rPr>
          <w:rFonts w:ascii="Lucida Bright" w:hAnsi="Lucida Bright"/>
        </w:rPr>
        <w:t xml:space="preserve">The second challenge is that of semantics. If we wish to break apart and understand our archives of papers, a degree of computer understanding should be developed so that we can search for papers based on meaning, and begin to structure the data that is locked away inside PDFs. </w:t>
      </w:r>
      <w:r w:rsidR="006647F7">
        <w:rPr>
          <w:rFonts w:ascii="Lucida Bright" w:hAnsi="Lucida Bright"/>
        </w:rPr>
        <w:t>Multiple efforts have been made to address this need for a semantic paper mapping, as surveyed by Keyan et al.</w:t>
      </w:r>
      <w:r>
        <w:rPr>
          <w:rFonts w:ascii="Lucida Bright" w:hAnsi="Lucida Bright"/>
        </w:rPr>
        <w:t xml:space="preserve"> </w:t>
      </w:r>
      <w:sdt>
        <w:sdtPr>
          <w:rPr>
            <w:rFonts w:ascii="Lucida Bright" w:hAnsi="Lucida Bright"/>
          </w:rPr>
          <w:id w:val="2110311383"/>
          <w:citation/>
        </w:sdtPr>
        <w:sdtContent>
          <w:r w:rsidR="006647F7">
            <w:rPr>
              <w:rFonts w:ascii="Lucida Bright" w:hAnsi="Lucida Bright"/>
            </w:rPr>
            <w:fldChar w:fldCharType="begin"/>
          </w:r>
          <w:r w:rsidR="006647F7">
            <w:rPr>
              <w:rFonts w:ascii="Lucida Bright" w:hAnsi="Lucida Bright"/>
            </w:rPr>
            <w:instrText xml:space="preserve"> CITATION Key26 \l 2057 </w:instrText>
          </w:r>
          <w:r w:rsidR="006647F7">
            <w:rPr>
              <w:rFonts w:ascii="Lucida Bright" w:hAnsi="Lucida Bright"/>
            </w:rPr>
            <w:fldChar w:fldCharType="separate"/>
          </w:r>
          <w:r w:rsidR="006647F7" w:rsidRPr="006647F7">
            <w:rPr>
              <w:rFonts w:ascii="Lucida Bright" w:hAnsi="Lucida Bright"/>
              <w:noProof/>
            </w:rPr>
            <w:t>[3]</w:t>
          </w:r>
          <w:r w:rsidR="006647F7">
            <w:rPr>
              <w:rFonts w:ascii="Lucida Bright" w:hAnsi="Lucida Bright"/>
            </w:rPr>
            <w:fldChar w:fldCharType="end"/>
          </w:r>
        </w:sdtContent>
      </w:sdt>
      <w:r w:rsidR="006647F7">
        <w:rPr>
          <w:rFonts w:ascii="Lucida Bright" w:hAnsi="Lucida Bright"/>
        </w:rPr>
        <w:t>.</w:t>
      </w:r>
    </w:p>
    <w:p w14:paraId="1FF46CC4" w14:textId="7D6BB43C" w:rsidR="00194824" w:rsidRDefault="006647F7" w:rsidP="00587D0B">
      <w:pPr>
        <w:rPr>
          <w:rFonts w:ascii="Lucida Bright" w:hAnsi="Lucida Bright"/>
        </w:rPr>
      </w:pPr>
      <w:r>
        <w:rPr>
          <w:rFonts w:ascii="Lucida Bright" w:hAnsi="Lucida Bright"/>
        </w:rPr>
        <w:t>However, locating relevant data is only part of the puzzle</w:t>
      </w:r>
      <w:r w:rsidR="00170CEE">
        <w:rPr>
          <w:rFonts w:ascii="Lucida Bright" w:hAnsi="Lucida Bright"/>
        </w:rPr>
        <w:t xml:space="preserve"> as much of this data is presented poorly, has missing contextual information (which is oftentimes crucial for it’s interpretation) and/or is recorded in a variety of different units. This final issue is extremely problematic when trying to curate datasets from the scientific literature, as it not-only requires a technical understanding of the science involved, but also the manual use of tools to unpick these different transformations so that data can be combined. </w:t>
      </w:r>
    </w:p>
    <w:p w14:paraId="7EFEAE12" w14:textId="6A4993EA" w:rsidR="00170CEE" w:rsidRDefault="00170CEE" w:rsidP="00170CEE">
      <w:pPr>
        <w:pStyle w:val="ListParagraph"/>
        <w:numPr>
          <w:ilvl w:val="1"/>
          <w:numId w:val="1"/>
        </w:numPr>
        <w:rPr>
          <w:rFonts w:ascii="Lucida Bright" w:hAnsi="Lucida Bright"/>
        </w:rPr>
      </w:pPr>
      <w:r>
        <w:rPr>
          <w:rFonts w:ascii="Lucida Bright" w:hAnsi="Lucida Bright"/>
        </w:rPr>
        <w:lastRenderedPageBreak/>
        <w:t xml:space="preserve">The challenge of extracting </w:t>
      </w:r>
      <w:r w:rsidR="00BB0967">
        <w:rPr>
          <w:rFonts w:ascii="Lucida Bright" w:hAnsi="Lucida Bright"/>
        </w:rPr>
        <w:t>polymer</w:t>
      </w:r>
      <w:r>
        <w:rPr>
          <w:rFonts w:ascii="Lucida Bright" w:hAnsi="Lucida Bright"/>
        </w:rPr>
        <w:t xml:space="preserve"> diffusion </w:t>
      </w:r>
      <w:r w:rsidR="00BB0967">
        <w:rPr>
          <w:rFonts w:ascii="Lucida Bright" w:hAnsi="Lucida Bright"/>
        </w:rPr>
        <w:t>coefficients</w:t>
      </w:r>
    </w:p>
    <w:p w14:paraId="336103DB" w14:textId="6F468C88" w:rsidR="00170CEE" w:rsidRDefault="00BB0967" w:rsidP="00170CEE">
      <w:pPr>
        <w:rPr>
          <w:rFonts w:ascii="Lucida Bright" w:hAnsi="Lucida Bright"/>
        </w:rPr>
      </w:pPr>
      <w:r>
        <w:rPr>
          <w:rFonts w:ascii="Lucida Bright" w:hAnsi="Lucida Bright"/>
        </w:rPr>
        <w:t xml:space="preserve">The molecular weight of a polymer can be predicted using it’s </w:t>
      </w:r>
      <w:r>
        <w:rPr>
          <w:rFonts w:ascii="Lucida Bright" w:hAnsi="Lucida Bright"/>
          <w:b/>
          <w:bCs/>
        </w:rPr>
        <w:t>diffusion coefficient</w:t>
      </w:r>
      <w:r>
        <w:rPr>
          <w:rFonts w:ascii="Lucida Bright" w:hAnsi="Lucida Bright"/>
        </w:rPr>
        <w:t xml:space="preserve"> which can be acquired by standard DOSY experiments. The molecular weight follows a power law subject to empirically derived parameters c and v in the equation</w:t>
      </w:r>
    </w:p>
    <w:p w14:paraId="5F395043" w14:textId="34C91526" w:rsidR="00BB0967" w:rsidRPr="00BB0967" w:rsidRDefault="00BB0967" w:rsidP="00170CEE">
      <w:pPr>
        <w:rPr>
          <w:rFonts w:ascii="Lucida Bright" w:eastAsiaTheme="minorEastAsia" w:hAnsi="Lucida Bright"/>
        </w:rPr>
      </w:pPr>
      <m:oMathPara>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m:oMathPara>
    </w:p>
    <w:p w14:paraId="7F4681D6" w14:textId="418EDB62" w:rsidR="00BB0967" w:rsidRDefault="00BB0967" w:rsidP="00170CEE">
      <w:pPr>
        <w:rPr>
          <w:rFonts w:ascii="Lucida Bright" w:eastAsiaTheme="minorEastAsia" w:hAnsi="Lucida Bright"/>
        </w:rPr>
      </w:pPr>
      <w:r>
        <w:rPr>
          <w:rFonts w:ascii="Lucida Bright" w:eastAsiaTheme="minorEastAsia" w:hAnsi="Lucida Bright"/>
        </w:rPr>
        <w:t xml:space="preserve">The parameters c and v are </w:t>
      </w:r>
      <w:r w:rsidR="00FE0672">
        <w:rPr>
          <w:rFonts w:ascii="Lucida Bright" w:eastAsiaTheme="minorEastAsia" w:hAnsi="Lucida Bright"/>
        </w:rPr>
        <w:t>determined</w:t>
      </w:r>
      <w:r>
        <w:rPr>
          <w:rFonts w:ascii="Lucida Bright" w:eastAsiaTheme="minorEastAsia" w:hAnsi="Lucida Bright"/>
        </w:rPr>
        <w:t xml:space="preserve"> experimentally and often reported in scientific literature. Locating tables of these coefficients, and extracting them for structured analysis is a</w:t>
      </w:r>
      <w:r w:rsidR="00471345">
        <w:rPr>
          <w:rFonts w:ascii="Lucida Bright" w:eastAsiaTheme="minorEastAsia" w:hAnsi="Lucida Bright"/>
        </w:rPr>
        <w:t xml:space="preserve">n onerous task, and one which this paper presents a solution to. </w:t>
      </w:r>
    </w:p>
    <w:p w14:paraId="374CA1EA" w14:textId="65C3EA6A" w:rsidR="00471345" w:rsidRDefault="00471345" w:rsidP="00170CEE">
      <w:pPr>
        <w:rPr>
          <w:rFonts w:ascii="Lucida Bright" w:eastAsiaTheme="minorEastAsia" w:hAnsi="Lucida Bright"/>
        </w:rPr>
      </w:pPr>
      <w:r>
        <w:rPr>
          <w:rFonts w:ascii="Lucida Bright" w:eastAsiaTheme="minorEastAsia" w:hAnsi="Lucida Bright"/>
        </w:rPr>
        <w:t>As alluded to, the way in which these parameters are presented in the scientific literature vary considerably, and are subject to gaps in contextual information, can admit a plethora of different mathematical transformations and have no agreed-upon symbol. For example, Hiller and Grabe</w:t>
      </w:r>
      <w:r w:rsidR="00FE0672">
        <w:rPr>
          <w:rFonts w:ascii="Lucida Bright" w:eastAsiaTheme="minorEastAsia" w:hAnsi="Lucida Bright"/>
        </w:rPr>
        <w:t xml:space="preserve"> denote</w:t>
      </w:r>
      <w:r>
        <w:rPr>
          <w:rFonts w:ascii="Lucida Bright" w:eastAsiaTheme="minorEastAsia" w:hAnsi="Lucida Bright"/>
        </w:rPr>
        <w:t xml:space="preserve"> the Flory coefficient with the letter b, whilst </w:t>
      </w:r>
      <w:proofErr w:type="spellStart"/>
      <w:r>
        <w:rPr>
          <w:rFonts w:ascii="Lucida Bright" w:eastAsiaTheme="minorEastAsia" w:hAnsi="Lucida Bright"/>
        </w:rPr>
        <w:t>Voorter</w:t>
      </w:r>
      <w:proofErr w:type="spellEnd"/>
      <w:r>
        <w:rPr>
          <w:rFonts w:ascii="Lucida Bright" w:eastAsiaTheme="minorEastAsia" w:hAnsi="Lucida Bright"/>
        </w:rPr>
        <w:t xml:space="preserve"> et al use the character v </w:t>
      </w:r>
      <w:sdt>
        <w:sdtPr>
          <w:rPr>
            <w:rFonts w:ascii="Lucida Bright" w:eastAsiaTheme="minorEastAsia" w:hAnsi="Lucida Bright"/>
          </w:rPr>
          <w:id w:val="796256908"/>
          <w:citation/>
        </w:sdtPr>
        <w:sdtContent>
          <w:r>
            <w:rPr>
              <w:rFonts w:ascii="Lucida Bright" w:eastAsiaTheme="minorEastAsia" w:hAnsi="Lucida Bright"/>
            </w:rPr>
            <w:fldChar w:fldCharType="begin"/>
          </w:r>
          <w:r>
            <w:rPr>
              <w:rFonts w:ascii="Lucida Bright" w:eastAsiaTheme="minorEastAsia" w:hAnsi="Lucida Bright"/>
            </w:rPr>
            <w:instrText xml:space="preserve"> CITATION Wol23 \l 2057 </w:instrText>
          </w:r>
          <w:r>
            <w:rPr>
              <w:rFonts w:ascii="Lucida Bright" w:eastAsiaTheme="minorEastAsia" w:hAnsi="Lucida Bright"/>
            </w:rPr>
            <w:fldChar w:fldCharType="separate"/>
          </w:r>
          <w:r w:rsidRPr="00471345">
            <w:rPr>
              <w:rFonts w:ascii="Lucida Bright" w:eastAsiaTheme="minorEastAsia" w:hAnsi="Lucida Bright"/>
              <w:noProof/>
            </w:rPr>
            <w:t>[4]</w:t>
          </w:r>
          <w:r>
            <w:rPr>
              <w:rFonts w:ascii="Lucida Bright" w:eastAsiaTheme="minorEastAsia" w:hAnsi="Lucida Bright"/>
            </w:rPr>
            <w:fldChar w:fldCharType="end"/>
          </w:r>
        </w:sdtContent>
      </w:sdt>
      <w:sdt>
        <w:sdtPr>
          <w:rPr>
            <w:rFonts w:ascii="Lucida Bright" w:eastAsiaTheme="minorEastAsia" w:hAnsi="Lucida Bright"/>
          </w:rPr>
          <w:id w:val="2123561543"/>
          <w:citation/>
        </w:sdtPr>
        <w:sdtContent>
          <w:r>
            <w:rPr>
              <w:rFonts w:ascii="Lucida Bright" w:eastAsiaTheme="minorEastAsia" w:hAnsi="Lucida Bright"/>
            </w:rPr>
            <w:fldChar w:fldCharType="begin"/>
          </w:r>
          <w:r>
            <w:rPr>
              <w:rFonts w:ascii="Lucida Bright" w:eastAsiaTheme="minorEastAsia" w:hAnsi="Lucida Bright"/>
            </w:rPr>
            <w:instrText xml:space="preserve"> CITATION Pie23 \l 2057 </w:instrText>
          </w:r>
          <w:r>
            <w:rPr>
              <w:rFonts w:ascii="Lucida Bright" w:eastAsiaTheme="minorEastAsia" w:hAnsi="Lucida Bright"/>
            </w:rPr>
            <w:fldChar w:fldCharType="separate"/>
          </w:r>
          <w:r>
            <w:rPr>
              <w:rFonts w:ascii="Lucida Bright" w:eastAsiaTheme="minorEastAsia" w:hAnsi="Lucida Bright"/>
              <w:noProof/>
            </w:rPr>
            <w:t xml:space="preserve"> </w:t>
          </w:r>
          <w:r w:rsidRPr="00471345">
            <w:rPr>
              <w:rFonts w:ascii="Lucida Bright" w:eastAsiaTheme="minorEastAsia" w:hAnsi="Lucida Bright"/>
              <w:noProof/>
            </w:rPr>
            <w:t>[5]</w:t>
          </w:r>
          <w:r>
            <w:rPr>
              <w:rFonts w:ascii="Lucida Bright" w:eastAsiaTheme="minorEastAsia" w:hAnsi="Lucida Bright"/>
            </w:rPr>
            <w:fldChar w:fldCharType="end"/>
          </w:r>
        </w:sdtContent>
      </w:sdt>
      <w:r>
        <w:rPr>
          <w:rFonts w:ascii="Lucida Bright" w:eastAsiaTheme="minorEastAsia" w:hAnsi="Lucida Bright"/>
        </w:rPr>
        <w:t xml:space="preserve">. </w:t>
      </w:r>
      <w:r w:rsidR="00FE0672">
        <w:rPr>
          <w:rFonts w:ascii="Lucida Bright" w:eastAsiaTheme="minorEastAsia" w:hAnsi="Lucida Bright"/>
        </w:rPr>
        <w:t xml:space="preserve">Some authors may choose to report this curve instead with the headings “slope” and “y-intercept” in the case of Nelson and Ward </w:t>
      </w:r>
      <w:sdt>
        <w:sdtPr>
          <w:rPr>
            <w:rFonts w:ascii="Lucida Bright" w:eastAsiaTheme="minorEastAsia" w:hAnsi="Lucida Bright"/>
          </w:rPr>
          <w:id w:val="1018660096"/>
          <w:citation/>
        </w:sdtPr>
        <w:sdtContent>
          <w:r w:rsidR="00FE0672">
            <w:rPr>
              <w:rFonts w:ascii="Lucida Bright" w:eastAsiaTheme="minorEastAsia" w:hAnsi="Lucida Bright"/>
            </w:rPr>
            <w:fldChar w:fldCharType="begin"/>
          </w:r>
          <w:r w:rsidR="00FE0672">
            <w:rPr>
              <w:rFonts w:ascii="Lucida Bright" w:eastAsiaTheme="minorEastAsia" w:hAnsi="Lucida Bright"/>
            </w:rPr>
            <w:instrText xml:space="preserve"> CITATION Tay23 \l 2057 </w:instrText>
          </w:r>
          <w:r w:rsidR="00FE0672">
            <w:rPr>
              <w:rFonts w:ascii="Lucida Bright" w:eastAsiaTheme="minorEastAsia" w:hAnsi="Lucida Bright"/>
            </w:rPr>
            <w:fldChar w:fldCharType="separate"/>
          </w:r>
          <w:r w:rsidR="00FE0672" w:rsidRPr="00FE0672">
            <w:rPr>
              <w:rFonts w:ascii="Lucida Bright" w:eastAsiaTheme="minorEastAsia" w:hAnsi="Lucida Bright"/>
              <w:noProof/>
            </w:rPr>
            <w:t>[6]</w:t>
          </w:r>
          <w:r w:rsidR="00FE0672">
            <w:rPr>
              <w:rFonts w:ascii="Lucida Bright" w:eastAsiaTheme="minorEastAsia" w:hAnsi="Lucida Bright"/>
            </w:rPr>
            <w:fldChar w:fldCharType="end"/>
          </w:r>
        </w:sdtContent>
      </w:sdt>
      <w:r w:rsidR="00FE0672">
        <w:rPr>
          <w:rFonts w:ascii="Lucida Bright" w:eastAsiaTheme="minorEastAsia" w:hAnsi="Lucida Bright"/>
        </w:rPr>
        <w:t xml:space="preserve"> and others portray the information as a mathematical equation embedded into the table </w:t>
      </w:r>
      <w:sdt>
        <w:sdtPr>
          <w:rPr>
            <w:rFonts w:ascii="Lucida Bright" w:eastAsiaTheme="minorEastAsia" w:hAnsi="Lucida Bright"/>
          </w:rPr>
          <w:id w:val="2123039650"/>
          <w:citation/>
        </w:sdtPr>
        <w:sdtContent>
          <w:r w:rsidR="00FE0672">
            <w:rPr>
              <w:rFonts w:ascii="Lucida Bright" w:eastAsiaTheme="minorEastAsia" w:hAnsi="Lucida Bright"/>
            </w:rPr>
            <w:fldChar w:fldCharType="begin"/>
          </w:r>
          <w:r w:rsidR="00FE0672">
            <w:rPr>
              <w:rFonts w:ascii="Lucida Bright" w:eastAsiaTheme="minorEastAsia" w:hAnsi="Lucida Bright"/>
            </w:rPr>
            <w:instrText xml:space="preserve"> CITATION Céc16 \l 2057 </w:instrText>
          </w:r>
          <w:r w:rsidR="00FE0672">
            <w:rPr>
              <w:rFonts w:ascii="Lucida Bright" w:eastAsiaTheme="minorEastAsia" w:hAnsi="Lucida Bright"/>
            </w:rPr>
            <w:fldChar w:fldCharType="separate"/>
          </w:r>
          <w:r w:rsidR="00FE0672" w:rsidRPr="00FE0672">
            <w:rPr>
              <w:rFonts w:ascii="Lucida Bright" w:eastAsiaTheme="minorEastAsia" w:hAnsi="Lucida Bright"/>
              <w:noProof/>
            </w:rPr>
            <w:t>[7]</w:t>
          </w:r>
          <w:r w:rsidR="00FE0672">
            <w:rPr>
              <w:rFonts w:ascii="Lucida Bright" w:eastAsiaTheme="minorEastAsia" w:hAnsi="Lucida Bright"/>
            </w:rPr>
            <w:fldChar w:fldCharType="end"/>
          </w:r>
        </w:sdtContent>
      </w:sdt>
      <w:r w:rsidR="00FE0672">
        <w:rPr>
          <w:rFonts w:ascii="Lucida Bright" w:eastAsiaTheme="minorEastAsia" w:hAnsi="Lucida Bright"/>
        </w:rPr>
        <w:t xml:space="preserve"> (which sometimes requires mathematical manipulation to retrieve the desired </w:t>
      </w:r>
      <w:proofErr w:type="spellStart"/>
      <w:r w:rsidR="00FE0672">
        <w:rPr>
          <w:rFonts w:ascii="Lucida Bright" w:eastAsiaTheme="minorEastAsia" w:hAnsi="Lucida Bright"/>
        </w:rPr>
        <w:t>numerics</w:t>
      </w:r>
      <w:proofErr w:type="spellEnd"/>
      <w:r w:rsidR="00FE0672">
        <w:rPr>
          <w:rFonts w:ascii="Lucida Bright" w:eastAsiaTheme="minorEastAsia" w:hAnsi="Lucida Bright"/>
        </w:rPr>
        <w:t xml:space="preserve">). </w:t>
      </w:r>
      <w:r w:rsidR="001801F3">
        <w:rPr>
          <w:rFonts w:ascii="Lucida Bright" w:eastAsiaTheme="minorEastAsia" w:hAnsi="Lucida Bright"/>
        </w:rPr>
        <w:t xml:space="preserve">Some tabulated data store very closely related, but different, quantities next to each other. In the case of </w:t>
      </w:r>
      <w:proofErr w:type="spellStart"/>
      <w:r w:rsidR="001801F3" w:rsidRPr="001801F3">
        <w:rPr>
          <w:rFonts w:ascii="Lucida Bright" w:eastAsiaTheme="minorEastAsia" w:hAnsi="Lucida Bright"/>
        </w:rPr>
        <w:t>Voorter</w:t>
      </w:r>
      <w:proofErr w:type="spellEnd"/>
      <w:r w:rsidR="001801F3">
        <w:rPr>
          <w:rFonts w:ascii="Lucida Bright" w:eastAsiaTheme="minorEastAsia" w:hAnsi="Lucida Bright"/>
        </w:rPr>
        <w:t xml:space="preserve"> et al, quantities b’ and c are in adjacent columns. It is only through understanding the mathematical formulae in different parts of the paper by which the b’ value can be correctly selected as corresponding to the c constant described above (rather confusingly). </w:t>
      </w:r>
    </w:p>
    <w:p w14:paraId="7FADDBD5" w14:textId="623378D6" w:rsidR="001801F3" w:rsidRDefault="001801F3" w:rsidP="00170CEE">
      <w:pPr>
        <w:rPr>
          <w:rFonts w:ascii="Lucida Bright" w:eastAsiaTheme="minorEastAsia" w:hAnsi="Lucida Bright"/>
        </w:rPr>
      </w:pPr>
      <w:r>
        <w:rPr>
          <w:rFonts w:ascii="Lucida Bright" w:eastAsiaTheme="minorEastAsia" w:hAnsi="Lucida Bright"/>
        </w:rPr>
        <w:t xml:space="preserve">This data, then, is not only highly unstructured in the literature, but it is encoded behind a wall of domain specific, contextual knowledge and scientific understanding. A large part of extraction of this data is therefore the intellectual parsing of the context of the data tables; simple pattern matching procedures do not work here. </w:t>
      </w:r>
      <w:r w:rsidR="00522E91">
        <w:rPr>
          <w:rFonts w:ascii="Lucida Bright" w:eastAsiaTheme="minorEastAsia" w:hAnsi="Lucida Bright"/>
        </w:rPr>
        <w:t xml:space="preserve">Consequently, </w:t>
      </w:r>
      <w:r w:rsidR="0042465B">
        <w:rPr>
          <w:rFonts w:ascii="Lucida Bright" w:eastAsiaTheme="minorEastAsia" w:hAnsi="Lucida Bright"/>
        </w:rPr>
        <w:t xml:space="preserve">conventional </w:t>
      </w:r>
      <w:r w:rsidR="00522E91">
        <w:rPr>
          <w:rFonts w:ascii="Lucida Bright" w:eastAsiaTheme="minorEastAsia" w:hAnsi="Lucida Bright"/>
        </w:rPr>
        <w:t>generation of knowledge graphs based off processing scientific papers verbaitim are unlikely to be able to produce</w:t>
      </w:r>
      <w:r w:rsidR="0042465B">
        <w:rPr>
          <w:rFonts w:ascii="Lucida Bright" w:eastAsiaTheme="minorEastAsia" w:hAnsi="Lucida Bright"/>
        </w:rPr>
        <w:t xml:space="preserve"> datasets that have highly specific output requirements such as those which require mathematical manipulation, or a level of pre-processing. </w:t>
      </w:r>
    </w:p>
    <w:p w14:paraId="4609E1B0" w14:textId="77777777" w:rsidR="00405B08" w:rsidRDefault="00405B08" w:rsidP="00405B08">
      <w:pPr>
        <w:ind w:firstLine="720"/>
        <w:rPr>
          <w:rFonts w:ascii="Lucida Bright" w:eastAsiaTheme="minorEastAsia" w:hAnsi="Lucida Bright"/>
        </w:rPr>
      </w:pPr>
    </w:p>
    <w:p w14:paraId="15EDB128" w14:textId="72A79A17" w:rsidR="00405B08" w:rsidRPr="00405B08" w:rsidRDefault="00405B08" w:rsidP="00405B08">
      <w:pPr>
        <w:pStyle w:val="ListParagraph"/>
        <w:numPr>
          <w:ilvl w:val="1"/>
          <w:numId w:val="1"/>
        </w:numPr>
        <w:rPr>
          <w:rFonts w:ascii="Lucida Bright" w:eastAsiaTheme="minorEastAsia" w:hAnsi="Lucida Bright"/>
        </w:rPr>
      </w:pPr>
      <w:r>
        <w:rPr>
          <w:rFonts w:ascii="Lucida Bright" w:eastAsiaTheme="minorEastAsia" w:hAnsi="Lucida Bright"/>
        </w:rPr>
        <w:t>An LLM based solution</w:t>
      </w:r>
    </w:p>
    <w:p w14:paraId="65B26BCA" w14:textId="506E3E06" w:rsidR="006F5FCA" w:rsidRDefault="006F5FCA" w:rsidP="00170CEE">
      <w:pPr>
        <w:rPr>
          <w:rFonts w:ascii="Lucida Bright" w:eastAsiaTheme="minorEastAsia" w:hAnsi="Lucida Bright"/>
        </w:rPr>
      </w:pPr>
      <w:r>
        <w:rPr>
          <w:rFonts w:ascii="Lucida Bright" w:eastAsiaTheme="minorEastAsia" w:hAnsi="Lucida Bright"/>
        </w:rPr>
        <w:t xml:space="preserve">Recent advances in agentic Large Language Models (LLMs) have proven themselves </w:t>
      </w:r>
      <w:r w:rsidR="0025414C">
        <w:rPr>
          <w:rFonts w:ascii="Lucida Bright" w:eastAsiaTheme="minorEastAsia" w:hAnsi="Lucida Bright"/>
        </w:rPr>
        <w:t xml:space="preserve">to be careful interpreters of information and users of tools. Frontier models are now capable of in-depth reasoning and logical deduction, with extremely few errors. Agentic models in particular are engineered to solve problems using a “chain-of-thought” structure, where the model is able to produce output text which it feed back to itself to continue it’s reasoning. This approach dramatically improves the reasoning capabilities of the model by allowing it to break problems up and experiment by pondering multiple approaches to answer the prompt. </w:t>
      </w:r>
    </w:p>
    <w:p w14:paraId="4C88A1AA" w14:textId="3EA4C252" w:rsidR="00490BF5" w:rsidRDefault="00D814C0" w:rsidP="00170CEE">
      <w:pPr>
        <w:rPr>
          <w:rFonts w:ascii="Lucida Bright" w:eastAsiaTheme="minorEastAsia" w:hAnsi="Lucida Bright"/>
        </w:rPr>
      </w:pPr>
      <w:r>
        <w:rPr>
          <w:rFonts w:ascii="Lucida Bright" w:eastAsiaTheme="minorEastAsia" w:hAnsi="Lucida Bright"/>
        </w:rPr>
        <w:t xml:space="preserve">We are reaching a point where there is little reason to expect the best models to be incapable of understanding even the most technical research. Given the correct requests and compute access, researchers have started solving open problem that </w:t>
      </w:r>
      <w:r>
        <w:rPr>
          <w:rFonts w:ascii="Lucida Bright" w:eastAsiaTheme="minorEastAsia" w:hAnsi="Lucida Bright"/>
        </w:rPr>
        <w:lastRenderedPageBreak/>
        <w:t xml:space="preserve">have stumped mathematicians for decades, such as the proof due to OpenAI of the </w:t>
      </w:r>
      <w:r w:rsidRPr="00D814C0">
        <w:rPr>
          <w:rFonts w:ascii="Lucida Bright" w:eastAsiaTheme="minorEastAsia" w:hAnsi="Lucida Bright"/>
        </w:rPr>
        <w:t>Erd</w:t>
      </w:r>
      <w:r w:rsidRPr="00D814C0">
        <w:rPr>
          <w:rFonts w:ascii="Cambria" w:eastAsiaTheme="minorEastAsia" w:hAnsi="Cambria" w:cs="Cambria"/>
        </w:rPr>
        <w:t>ő</w:t>
      </w:r>
      <w:r w:rsidRPr="00D814C0">
        <w:rPr>
          <w:rFonts w:ascii="Lucida Bright" w:eastAsiaTheme="minorEastAsia" w:hAnsi="Lucida Bright"/>
        </w:rPr>
        <w:t>s</w:t>
      </w:r>
      <w:r>
        <w:rPr>
          <w:rFonts w:ascii="Lucida Bright" w:eastAsiaTheme="minorEastAsia" w:hAnsi="Lucida Bright"/>
        </w:rPr>
        <w:t xml:space="preserve"> unit distance problem, first proposed in 1946 </w:t>
      </w:r>
      <w:sdt>
        <w:sdtPr>
          <w:rPr>
            <w:rFonts w:ascii="Lucida Bright" w:eastAsiaTheme="minorEastAsia" w:hAnsi="Lucida Bright"/>
          </w:rPr>
          <w:id w:val="-1433580822"/>
          <w:citation/>
        </w:sdtPr>
        <w:sdtContent>
          <w:r>
            <w:rPr>
              <w:rFonts w:ascii="Lucida Bright" w:eastAsiaTheme="minorEastAsia" w:hAnsi="Lucida Bright"/>
            </w:rPr>
            <w:fldChar w:fldCharType="begin"/>
          </w:r>
          <w:r>
            <w:rPr>
              <w:rFonts w:ascii="Lucida Bright" w:eastAsiaTheme="minorEastAsia" w:hAnsi="Lucida Bright"/>
            </w:rPr>
            <w:instrText xml:space="preserve"> CITATION Ope26 \l 2057 </w:instrText>
          </w:r>
          <w:r>
            <w:rPr>
              <w:rFonts w:ascii="Lucida Bright" w:eastAsiaTheme="minorEastAsia" w:hAnsi="Lucida Bright"/>
            </w:rPr>
            <w:fldChar w:fldCharType="separate"/>
          </w:r>
          <w:r w:rsidRPr="00D814C0">
            <w:rPr>
              <w:rFonts w:ascii="Lucida Bright" w:eastAsiaTheme="minorEastAsia" w:hAnsi="Lucida Bright"/>
              <w:noProof/>
            </w:rPr>
            <w:t>[8]</w:t>
          </w:r>
          <w:r>
            <w:rPr>
              <w:rFonts w:ascii="Lucida Bright" w:eastAsiaTheme="minorEastAsia" w:hAnsi="Lucida Bright"/>
            </w:rPr>
            <w:fldChar w:fldCharType="end"/>
          </w:r>
        </w:sdtContent>
      </w:sdt>
      <w:r>
        <w:rPr>
          <w:rFonts w:ascii="Lucida Bright" w:eastAsiaTheme="minorEastAsia" w:hAnsi="Lucida Bright"/>
        </w:rPr>
        <w:t>. The problem then becomes how do we create the infrastructure and systems required to successfully utilise LLMs in order to create robust, error free and extensive datasets from the existing scientific knowledge. LLMs undoubtfully have the domain knowledge to correctly interpret scientific papers, and do not face issues of tiredness and impatience that a human researcher may face.</w:t>
      </w:r>
    </w:p>
    <w:p w14:paraId="40792ADE" w14:textId="6B6BCEF9" w:rsidR="00490BF5" w:rsidRDefault="00490BF5" w:rsidP="00170CEE">
      <w:pPr>
        <w:rPr>
          <w:rFonts w:ascii="Lucida Bright" w:eastAsiaTheme="minorEastAsia" w:hAnsi="Lucida Bright"/>
        </w:rPr>
      </w:pPr>
      <w:r>
        <w:rPr>
          <w:rFonts w:ascii="Lucida Bright" w:eastAsiaTheme="minorEastAsia" w:hAnsi="Lucida Bright"/>
        </w:rPr>
        <w:t>Access to the frontier models, however, is extremely excusive. LLMs contain tens of billions to tri</w:t>
      </w:r>
      <w:r w:rsidR="00777B89">
        <w:rPr>
          <w:rFonts w:ascii="Lucida Bright" w:eastAsiaTheme="minorEastAsia" w:hAnsi="Lucida Bright"/>
        </w:rPr>
        <w:t xml:space="preserve">llions of parameters, which require expensive hardware </w:t>
      </w:r>
      <w:r w:rsidR="001767F5">
        <w:rPr>
          <w:rFonts w:ascii="Lucida Bright" w:eastAsiaTheme="minorEastAsia" w:hAnsi="Lucida Bright"/>
        </w:rPr>
        <w:t>and large-scale investment into the infrastructure to run them</w:t>
      </w:r>
      <w:r w:rsidR="00777B89">
        <w:rPr>
          <w:rFonts w:ascii="Lucida Bright" w:eastAsiaTheme="minorEastAsia" w:hAnsi="Lucida Bright"/>
        </w:rPr>
        <w:t xml:space="preserve">. Only a few companies in the world have the facilities to run these models, hence most AI researchers must purchase </w:t>
      </w:r>
      <w:r w:rsidR="001767F5">
        <w:rPr>
          <w:rFonts w:ascii="Lucida Bright" w:eastAsiaTheme="minorEastAsia" w:hAnsi="Lucida Bright"/>
        </w:rPr>
        <w:t>compute from these companies via an Application Program Interface (API). Thus, the aspect of cost comes into any discussion of the construction of AI-enabled software. It is important to keep in mind the spectrum of access to funding and hardware that researche</w:t>
      </w:r>
      <w:r w:rsidR="00AA0637">
        <w:rPr>
          <w:rFonts w:ascii="Lucida Bright" w:eastAsiaTheme="minorEastAsia" w:hAnsi="Lucida Bright"/>
        </w:rPr>
        <w:t>r</w:t>
      </w:r>
      <w:r w:rsidR="001767F5">
        <w:rPr>
          <w:rFonts w:ascii="Lucida Bright" w:eastAsiaTheme="minorEastAsia" w:hAnsi="Lucida Bright"/>
        </w:rPr>
        <w:t>s may have when developing tools that are intended to assist them</w:t>
      </w:r>
      <w:r w:rsidR="0019714F">
        <w:rPr>
          <w:rFonts w:ascii="Lucida Bright" w:eastAsiaTheme="minorEastAsia" w:hAnsi="Lucida Bright"/>
        </w:rPr>
        <w:t>. Indeed, it is</w:t>
      </w:r>
      <w:r w:rsidR="001767F5">
        <w:rPr>
          <w:rFonts w:ascii="Lucida Bright" w:eastAsiaTheme="minorEastAsia" w:hAnsi="Lucida Bright"/>
        </w:rPr>
        <w:t xml:space="preserve"> possible to run open-weight models locally, </w:t>
      </w:r>
      <w:r w:rsidR="0019714F">
        <w:rPr>
          <w:rFonts w:ascii="Lucida Bright" w:eastAsiaTheme="minorEastAsia" w:hAnsi="Lucida Bright"/>
        </w:rPr>
        <w:t>on moderately capable hardware, such as NVIDIAs A100 graphics, which is what we targeted with this piece of software.</w:t>
      </w:r>
    </w:p>
    <w:p w14:paraId="10424A2F" w14:textId="2A255599" w:rsidR="00DC5912" w:rsidRPr="00BB0967" w:rsidRDefault="00DC5912" w:rsidP="00170CEE">
      <w:pPr>
        <w:rPr>
          <w:rFonts w:ascii="Lucida Bright" w:eastAsiaTheme="minorEastAsia" w:hAnsi="Lucida Bright"/>
        </w:rPr>
      </w:pPr>
      <w:r>
        <w:rPr>
          <w:rFonts w:ascii="Lucida Bright" w:eastAsiaTheme="minorEastAsia" w:hAnsi="Lucida Bright"/>
        </w:rPr>
        <w:t>In this paper, we introduce “</w:t>
      </w:r>
      <w:proofErr w:type="spellStart"/>
      <w:r>
        <w:rPr>
          <w:rFonts w:ascii="Lucida Bright" w:eastAsiaTheme="minorEastAsia" w:hAnsi="Lucida Bright"/>
        </w:rPr>
        <w:t>chemstractor</w:t>
      </w:r>
      <w:proofErr w:type="spellEnd"/>
      <w:r>
        <w:rPr>
          <w:rFonts w:ascii="Lucida Bright" w:eastAsiaTheme="minorEastAsia" w:hAnsi="Lucida Bright"/>
        </w:rPr>
        <w:t xml:space="preserve">”, an LLM-driven pipeline for extracting the chemical diffusion coefficients for polymers from scientific literature. We will demonstrate the techniques used in this software, </w:t>
      </w:r>
      <w:r w:rsidR="00340D0F">
        <w:rPr>
          <w:rFonts w:ascii="Lucida Bright" w:eastAsiaTheme="minorEastAsia" w:hAnsi="Lucida Bright"/>
        </w:rPr>
        <w:t xml:space="preserve">detail </w:t>
      </w:r>
      <w:r>
        <w:rPr>
          <w:rFonts w:ascii="Lucida Bright" w:eastAsiaTheme="minorEastAsia" w:hAnsi="Lucida Bright"/>
        </w:rPr>
        <w:t>each of it</w:t>
      </w:r>
      <w:proofErr w:type="spellStart"/>
      <w:r>
        <w:rPr>
          <w:rFonts w:ascii="Lucida Bright" w:eastAsiaTheme="minorEastAsia" w:hAnsi="Lucida Bright"/>
        </w:rPr>
        <w:t>’s</w:t>
      </w:r>
      <w:proofErr w:type="spellEnd"/>
      <w:r>
        <w:rPr>
          <w:rFonts w:ascii="Lucida Bright" w:eastAsiaTheme="minorEastAsia" w:hAnsi="Lucida Bright"/>
        </w:rPr>
        <w:t xml:space="preserve"> stages, comment on the results and how </w:t>
      </w:r>
      <w:r w:rsidR="00340D0F">
        <w:rPr>
          <w:rFonts w:ascii="Lucida Bright" w:eastAsiaTheme="minorEastAsia" w:hAnsi="Lucida Bright"/>
        </w:rPr>
        <w:t xml:space="preserve">they can be generalised to produce tools that reliably extract and process different types of technical data. </w:t>
      </w:r>
    </w:p>
    <w:sectPr w:rsidR="00DC5912" w:rsidRPr="00BB09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A058B"/>
    <w:multiLevelType w:val="multilevel"/>
    <w:tmpl w:val="07128A1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647586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2F"/>
    <w:rsid w:val="00150CAC"/>
    <w:rsid w:val="00170CEE"/>
    <w:rsid w:val="001767F5"/>
    <w:rsid w:val="001801F3"/>
    <w:rsid w:val="00194824"/>
    <w:rsid w:val="0019714F"/>
    <w:rsid w:val="002462FE"/>
    <w:rsid w:val="0025414C"/>
    <w:rsid w:val="00340D0F"/>
    <w:rsid w:val="00381D40"/>
    <w:rsid w:val="003F03E3"/>
    <w:rsid w:val="00405B08"/>
    <w:rsid w:val="0042465B"/>
    <w:rsid w:val="00451587"/>
    <w:rsid w:val="00471345"/>
    <w:rsid w:val="00490BF5"/>
    <w:rsid w:val="00522E91"/>
    <w:rsid w:val="00566DD4"/>
    <w:rsid w:val="00587D0B"/>
    <w:rsid w:val="006647F7"/>
    <w:rsid w:val="006F156A"/>
    <w:rsid w:val="006F5FCA"/>
    <w:rsid w:val="00777B89"/>
    <w:rsid w:val="00932990"/>
    <w:rsid w:val="009E5CB0"/>
    <w:rsid w:val="00A42066"/>
    <w:rsid w:val="00A642A8"/>
    <w:rsid w:val="00AA0637"/>
    <w:rsid w:val="00BB0967"/>
    <w:rsid w:val="00D814C0"/>
    <w:rsid w:val="00D870CE"/>
    <w:rsid w:val="00DB0C7D"/>
    <w:rsid w:val="00DC5912"/>
    <w:rsid w:val="00EF282F"/>
    <w:rsid w:val="00FE06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5111"/>
  <w15:chartTrackingRefBased/>
  <w15:docId w15:val="{9B4EE69F-D6BE-40C2-8669-E8D8F326D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28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F28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28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28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28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28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8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8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8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8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28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28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28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28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28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8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8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82F"/>
    <w:rPr>
      <w:rFonts w:eastAsiaTheme="majorEastAsia" w:cstheme="majorBidi"/>
      <w:color w:val="272727" w:themeColor="text1" w:themeTint="D8"/>
    </w:rPr>
  </w:style>
  <w:style w:type="paragraph" w:styleId="Title">
    <w:name w:val="Title"/>
    <w:basedOn w:val="Normal"/>
    <w:next w:val="Normal"/>
    <w:link w:val="TitleChar"/>
    <w:uiPriority w:val="10"/>
    <w:qFormat/>
    <w:rsid w:val="00EF28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8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8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82F"/>
    <w:pPr>
      <w:spacing w:before="160"/>
      <w:jc w:val="center"/>
    </w:pPr>
    <w:rPr>
      <w:i/>
      <w:iCs/>
      <w:color w:val="404040" w:themeColor="text1" w:themeTint="BF"/>
    </w:rPr>
  </w:style>
  <w:style w:type="character" w:customStyle="1" w:styleId="QuoteChar">
    <w:name w:val="Quote Char"/>
    <w:basedOn w:val="DefaultParagraphFont"/>
    <w:link w:val="Quote"/>
    <w:uiPriority w:val="29"/>
    <w:rsid w:val="00EF282F"/>
    <w:rPr>
      <w:i/>
      <w:iCs/>
      <w:color w:val="404040" w:themeColor="text1" w:themeTint="BF"/>
    </w:rPr>
  </w:style>
  <w:style w:type="paragraph" w:styleId="ListParagraph">
    <w:name w:val="List Paragraph"/>
    <w:basedOn w:val="Normal"/>
    <w:uiPriority w:val="34"/>
    <w:qFormat/>
    <w:rsid w:val="00EF282F"/>
    <w:pPr>
      <w:ind w:left="720"/>
      <w:contextualSpacing/>
    </w:pPr>
  </w:style>
  <w:style w:type="character" w:styleId="IntenseEmphasis">
    <w:name w:val="Intense Emphasis"/>
    <w:basedOn w:val="DefaultParagraphFont"/>
    <w:uiPriority w:val="21"/>
    <w:qFormat/>
    <w:rsid w:val="00EF282F"/>
    <w:rPr>
      <w:i/>
      <w:iCs/>
      <w:color w:val="2F5496" w:themeColor="accent1" w:themeShade="BF"/>
    </w:rPr>
  </w:style>
  <w:style w:type="paragraph" w:styleId="IntenseQuote">
    <w:name w:val="Intense Quote"/>
    <w:basedOn w:val="Normal"/>
    <w:next w:val="Normal"/>
    <w:link w:val="IntenseQuoteChar"/>
    <w:uiPriority w:val="30"/>
    <w:qFormat/>
    <w:rsid w:val="00EF28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282F"/>
    <w:rPr>
      <w:i/>
      <w:iCs/>
      <w:color w:val="2F5496" w:themeColor="accent1" w:themeShade="BF"/>
    </w:rPr>
  </w:style>
  <w:style w:type="character" w:styleId="IntenseReference">
    <w:name w:val="Intense Reference"/>
    <w:basedOn w:val="DefaultParagraphFont"/>
    <w:uiPriority w:val="32"/>
    <w:qFormat/>
    <w:rsid w:val="00EF282F"/>
    <w:rPr>
      <w:b/>
      <w:bCs/>
      <w:smallCaps/>
      <w:color w:val="2F5496" w:themeColor="accent1" w:themeShade="BF"/>
      <w:spacing w:val="5"/>
    </w:rPr>
  </w:style>
  <w:style w:type="character" w:styleId="PlaceholderText">
    <w:name w:val="Placeholder Text"/>
    <w:basedOn w:val="DefaultParagraphFont"/>
    <w:uiPriority w:val="99"/>
    <w:semiHidden/>
    <w:rsid w:val="00BB09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818">
      <w:bodyDiv w:val="1"/>
      <w:marLeft w:val="0"/>
      <w:marRight w:val="0"/>
      <w:marTop w:val="0"/>
      <w:marBottom w:val="0"/>
      <w:divBdr>
        <w:top w:val="none" w:sz="0" w:space="0" w:color="auto"/>
        <w:left w:val="none" w:sz="0" w:space="0" w:color="auto"/>
        <w:bottom w:val="none" w:sz="0" w:space="0" w:color="auto"/>
        <w:right w:val="none" w:sz="0" w:space="0" w:color="auto"/>
      </w:divBdr>
    </w:div>
    <w:div w:id="4326535">
      <w:bodyDiv w:val="1"/>
      <w:marLeft w:val="0"/>
      <w:marRight w:val="0"/>
      <w:marTop w:val="0"/>
      <w:marBottom w:val="0"/>
      <w:divBdr>
        <w:top w:val="none" w:sz="0" w:space="0" w:color="auto"/>
        <w:left w:val="none" w:sz="0" w:space="0" w:color="auto"/>
        <w:bottom w:val="none" w:sz="0" w:space="0" w:color="auto"/>
        <w:right w:val="none" w:sz="0" w:space="0" w:color="auto"/>
      </w:divBdr>
    </w:div>
    <w:div w:id="153686411">
      <w:bodyDiv w:val="1"/>
      <w:marLeft w:val="0"/>
      <w:marRight w:val="0"/>
      <w:marTop w:val="0"/>
      <w:marBottom w:val="0"/>
      <w:divBdr>
        <w:top w:val="none" w:sz="0" w:space="0" w:color="auto"/>
        <w:left w:val="none" w:sz="0" w:space="0" w:color="auto"/>
        <w:bottom w:val="none" w:sz="0" w:space="0" w:color="auto"/>
        <w:right w:val="none" w:sz="0" w:space="0" w:color="auto"/>
      </w:divBdr>
    </w:div>
    <w:div w:id="301662560">
      <w:bodyDiv w:val="1"/>
      <w:marLeft w:val="0"/>
      <w:marRight w:val="0"/>
      <w:marTop w:val="0"/>
      <w:marBottom w:val="0"/>
      <w:divBdr>
        <w:top w:val="none" w:sz="0" w:space="0" w:color="auto"/>
        <w:left w:val="none" w:sz="0" w:space="0" w:color="auto"/>
        <w:bottom w:val="none" w:sz="0" w:space="0" w:color="auto"/>
        <w:right w:val="none" w:sz="0" w:space="0" w:color="auto"/>
      </w:divBdr>
    </w:div>
    <w:div w:id="348872286">
      <w:bodyDiv w:val="1"/>
      <w:marLeft w:val="0"/>
      <w:marRight w:val="0"/>
      <w:marTop w:val="0"/>
      <w:marBottom w:val="0"/>
      <w:divBdr>
        <w:top w:val="none" w:sz="0" w:space="0" w:color="auto"/>
        <w:left w:val="none" w:sz="0" w:space="0" w:color="auto"/>
        <w:bottom w:val="none" w:sz="0" w:space="0" w:color="auto"/>
        <w:right w:val="none" w:sz="0" w:space="0" w:color="auto"/>
      </w:divBdr>
    </w:div>
    <w:div w:id="408382107">
      <w:bodyDiv w:val="1"/>
      <w:marLeft w:val="0"/>
      <w:marRight w:val="0"/>
      <w:marTop w:val="0"/>
      <w:marBottom w:val="0"/>
      <w:divBdr>
        <w:top w:val="none" w:sz="0" w:space="0" w:color="auto"/>
        <w:left w:val="none" w:sz="0" w:space="0" w:color="auto"/>
        <w:bottom w:val="none" w:sz="0" w:space="0" w:color="auto"/>
        <w:right w:val="none" w:sz="0" w:space="0" w:color="auto"/>
      </w:divBdr>
    </w:div>
    <w:div w:id="425149486">
      <w:bodyDiv w:val="1"/>
      <w:marLeft w:val="0"/>
      <w:marRight w:val="0"/>
      <w:marTop w:val="0"/>
      <w:marBottom w:val="0"/>
      <w:divBdr>
        <w:top w:val="none" w:sz="0" w:space="0" w:color="auto"/>
        <w:left w:val="none" w:sz="0" w:space="0" w:color="auto"/>
        <w:bottom w:val="none" w:sz="0" w:space="0" w:color="auto"/>
        <w:right w:val="none" w:sz="0" w:space="0" w:color="auto"/>
      </w:divBdr>
    </w:div>
    <w:div w:id="472254230">
      <w:bodyDiv w:val="1"/>
      <w:marLeft w:val="0"/>
      <w:marRight w:val="0"/>
      <w:marTop w:val="0"/>
      <w:marBottom w:val="0"/>
      <w:divBdr>
        <w:top w:val="none" w:sz="0" w:space="0" w:color="auto"/>
        <w:left w:val="none" w:sz="0" w:space="0" w:color="auto"/>
        <w:bottom w:val="none" w:sz="0" w:space="0" w:color="auto"/>
        <w:right w:val="none" w:sz="0" w:space="0" w:color="auto"/>
      </w:divBdr>
    </w:div>
    <w:div w:id="546723344">
      <w:bodyDiv w:val="1"/>
      <w:marLeft w:val="0"/>
      <w:marRight w:val="0"/>
      <w:marTop w:val="0"/>
      <w:marBottom w:val="0"/>
      <w:divBdr>
        <w:top w:val="none" w:sz="0" w:space="0" w:color="auto"/>
        <w:left w:val="none" w:sz="0" w:space="0" w:color="auto"/>
        <w:bottom w:val="none" w:sz="0" w:space="0" w:color="auto"/>
        <w:right w:val="none" w:sz="0" w:space="0" w:color="auto"/>
      </w:divBdr>
    </w:div>
    <w:div w:id="663169640">
      <w:bodyDiv w:val="1"/>
      <w:marLeft w:val="0"/>
      <w:marRight w:val="0"/>
      <w:marTop w:val="0"/>
      <w:marBottom w:val="0"/>
      <w:divBdr>
        <w:top w:val="none" w:sz="0" w:space="0" w:color="auto"/>
        <w:left w:val="none" w:sz="0" w:space="0" w:color="auto"/>
        <w:bottom w:val="none" w:sz="0" w:space="0" w:color="auto"/>
        <w:right w:val="none" w:sz="0" w:space="0" w:color="auto"/>
      </w:divBdr>
    </w:div>
    <w:div w:id="676347699">
      <w:bodyDiv w:val="1"/>
      <w:marLeft w:val="0"/>
      <w:marRight w:val="0"/>
      <w:marTop w:val="0"/>
      <w:marBottom w:val="0"/>
      <w:divBdr>
        <w:top w:val="none" w:sz="0" w:space="0" w:color="auto"/>
        <w:left w:val="none" w:sz="0" w:space="0" w:color="auto"/>
        <w:bottom w:val="none" w:sz="0" w:space="0" w:color="auto"/>
        <w:right w:val="none" w:sz="0" w:space="0" w:color="auto"/>
      </w:divBdr>
    </w:div>
    <w:div w:id="770199180">
      <w:bodyDiv w:val="1"/>
      <w:marLeft w:val="0"/>
      <w:marRight w:val="0"/>
      <w:marTop w:val="0"/>
      <w:marBottom w:val="0"/>
      <w:divBdr>
        <w:top w:val="none" w:sz="0" w:space="0" w:color="auto"/>
        <w:left w:val="none" w:sz="0" w:space="0" w:color="auto"/>
        <w:bottom w:val="none" w:sz="0" w:space="0" w:color="auto"/>
        <w:right w:val="none" w:sz="0" w:space="0" w:color="auto"/>
      </w:divBdr>
    </w:div>
    <w:div w:id="798374706">
      <w:bodyDiv w:val="1"/>
      <w:marLeft w:val="0"/>
      <w:marRight w:val="0"/>
      <w:marTop w:val="0"/>
      <w:marBottom w:val="0"/>
      <w:divBdr>
        <w:top w:val="none" w:sz="0" w:space="0" w:color="auto"/>
        <w:left w:val="none" w:sz="0" w:space="0" w:color="auto"/>
        <w:bottom w:val="none" w:sz="0" w:space="0" w:color="auto"/>
        <w:right w:val="none" w:sz="0" w:space="0" w:color="auto"/>
      </w:divBdr>
    </w:div>
    <w:div w:id="864490032">
      <w:bodyDiv w:val="1"/>
      <w:marLeft w:val="0"/>
      <w:marRight w:val="0"/>
      <w:marTop w:val="0"/>
      <w:marBottom w:val="0"/>
      <w:divBdr>
        <w:top w:val="none" w:sz="0" w:space="0" w:color="auto"/>
        <w:left w:val="none" w:sz="0" w:space="0" w:color="auto"/>
        <w:bottom w:val="none" w:sz="0" w:space="0" w:color="auto"/>
        <w:right w:val="none" w:sz="0" w:space="0" w:color="auto"/>
      </w:divBdr>
    </w:div>
    <w:div w:id="939484499">
      <w:bodyDiv w:val="1"/>
      <w:marLeft w:val="0"/>
      <w:marRight w:val="0"/>
      <w:marTop w:val="0"/>
      <w:marBottom w:val="0"/>
      <w:divBdr>
        <w:top w:val="none" w:sz="0" w:space="0" w:color="auto"/>
        <w:left w:val="none" w:sz="0" w:space="0" w:color="auto"/>
        <w:bottom w:val="none" w:sz="0" w:space="0" w:color="auto"/>
        <w:right w:val="none" w:sz="0" w:space="0" w:color="auto"/>
      </w:divBdr>
    </w:div>
    <w:div w:id="1122963342">
      <w:bodyDiv w:val="1"/>
      <w:marLeft w:val="0"/>
      <w:marRight w:val="0"/>
      <w:marTop w:val="0"/>
      <w:marBottom w:val="0"/>
      <w:divBdr>
        <w:top w:val="none" w:sz="0" w:space="0" w:color="auto"/>
        <w:left w:val="none" w:sz="0" w:space="0" w:color="auto"/>
        <w:bottom w:val="none" w:sz="0" w:space="0" w:color="auto"/>
        <w:right w:val="none" w:sz="0" w:space="0" w:color="auto"/>
      </w:divBdr>
    </w:div>
    <w:div w:id="1307931274">
      <w:bodyDiv w:val="1"/>
      <w:marLeft w:val="0"/>
      <w:marRight w:val="0"/>
      <w:marTop w:val="0"/>
      <w:marBottom w:val="0"/>
      <w:divBdr>
        <w:top w:val="none" w:sz="0" w:space="0" w:color="auto"/>
        <w:left w:val="none" w:sz="0" w:space="0" w:color="auto"/>
        <w:bottom w:val="none" w:sz="0" w:space="0" w:color="auto"/>
        <w:right w:val="none" w:sz="0" w:space="0" w:color="auto"/>
      </w:divBdr>
    </w:div>
    <w:div w:id="1669287853">
      <w:bodyDiv w:val="1"/>
      <w:marLeft w:val="0"/>
      <w:marRight w:val="0"/>
      <w:marTop w:val="0"/>
      <w:marBottom w:val="0"/>
      <w:divBdr>
        <w:top w:val="none" w:sz="0" w:space="0" w:color="auto"/>
        <w:left w:val="none" w:sz="0" w:space="0" w:color="auto"/>
        <w:bottom w:val="none" w:sz="0" w:space="0" w:color="auto"/>
        <w:right w:val="none" w:sz="0" w:space="0" w:color="auto"/>
      </w:divBdr>
    </w:div>
    <w:div w:id="1711221037">
      <w:bodyDiv w:val="1"/>
      <w:marLeft w:val="0"/>
      <w:marRight w:val="0"/>
      <w:marTop w:val="0"/>
      <w:marBottom w:val="0"/>
      <w:divBdr>
        <w:top w:val="none" w:sz="0" w:space="0" w:color="auto"/>
        <w:left w:val="none" w:sz="0" w:space="0" w:color="auto"/>
        <w:bottom w:val="none" w:sz="0" w:space="0" w:color="auto"/>
        <w:right w:val="none" w:sz="0" w:space="0" w:color="auto"/>
      </w:divBdr>
    </w:div>
    <w:div w:id="1743067184">
      <w:bodyDiv w:val="1"/>
      <w:marLeft w:val="0"/>
      <w:marRight w:val="0"/>
      <w:marTop w:val="0"/>
      <w:marBottom w:val="0"/>
      <w:divBdr>
        <w:top w:val="none" w:sz="0" w:space="0" w:color="auto"/>
        <w:left w:val="none" w:sz="0" w:space="0" w:color="auto"/>
        <w:bottom w:val="none" w:sz="0" w:space="0" w:color="auto"/>
        <w:right w:val="none" w:sz="0" w:space="0" w:color="auto"/>
      </w:divBdr>
    </w:div>
    <w:div w:id="1835417061">
      <w:bodyDiv w:val="1"/>
      <w:marLeft w:val="0"/>
      <w:marRight w:val="0"/>
      <w:marTop w:val="0"/>
      <w:marBottom w:val="0"/>
      <w:divBdr>
        <w:top w:val="none" w:sz="0" w:space="0" w:color="auto"/>
        <w:left w:val="none" w:sz="0" w:space="0" w:color="auto"/>
        <w:bottom w:val="none" w:sz="0" w:space="0" w:color="auto"/>
        <w:right w:val="none" w:sz="0" w:space="0" w:color="auto"/>
      </w:divBdr>
    </w:div>
    <w:div w:id="2007586054">
      <w:bodyDiv w:val="1"/>
      <w:marLeft w:val="0"/>
      <w:marRight w:val="0"/>
      <w:marTop w:val="0"/>
      <w:marBottom w:val="0"/>
      <w:divBdr>
        <w:top w:val="none" w:sz="0" w:space="0" w:color="auto"/>
        <w:left w:val="none" w:sz="0" w:space="0" w:color="auto"/>
        <w:bottom w:val="none" w:sz="0" w:space="0" w:color="auto"/>
        <w:right w:val="none" w:sz="0" w:space="0" w:color="auto"/>
      </w:divBdr>
    </w:div>
    <w:div w:id="2063094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Sci26</b:Tag>
    <b:SourceType>InternetSite</b:SourceType>
    <b:Guid>{93684270-ED62-43D2-9595-6CA6A854EA94}</b:Guid>
    <b:Title>Science</b:Title>
    <b:Year>2026</b:Year>
    <b:InternetSiteTitle>Science</b:InternetSiteTitle>
    <b:Month>July</b:Month>
    <b:Day>29</b:Day>
    <b:URL>https://www.science.org/content/article/scienceadviser-scientists-are-publishing-too-many-papers-and-s-bad-science</b:URL>
    <b:RefOrder>1</b:RefOrder>
  </b:Source>
  <b:Source>
    <b:Tag>Gus18</b:Tag>
    <b:SourceType>JournalArticle</b:SourceType>
    <b:Guid>{E7003D91-CAF2-4B83-B474-8B501FB4B3BB}</b:Guid>
    <b:Author>
      <b:Author>
        <b:NameList>
          <b:Person>
            <b:Last>Gusenbauer</b:Last>
            <b:First>Michael</b:First>
          </b:Person>
        </b:NameList>
      </b:Author>
    </b:Author>
    <b:Title>Google Scholar to overshadow them all? Comparing the sizes of 12 academic search engines and bibliographic databases</b:Title>
    <b:Year>2018</b:Year>
    <b:Publisher>Scientometrics</b:Publisher>
    <b:JournalName>Scientometrics</b:JournalName>
    <b:Pages>177–214</b:Pages>
    <b:RefOrder>2</b:RefOrder>
  </b:Source>
  <b:Source>
    <b:Tag>Key26</b:Tag>
    <b:SourceType>JournalArticle</b:SourceType>
    <b:Guid>{0792B68D-15D2-4535-8D02-0D0915FD3BDC}</b:Guid>
    <b:Title>Bridging data and discovery: a survey on knowledge graphs in AI for science</b:Title>
    <b:JournalName>National Science Review</b:JournalName>
    <b:Year>2026</b:Year>
    <b:Volume>13</b:Volume>
    <b:Issue>8</b:Issue>
    <b:Author>
      <b:Author>
        <b:NameList>
          <b:Person>
            <b:Last>Keyan Ding</b:Last>
            <b:First>Zhihui</b:First>
            <b:Middle>Zhu, Yuqi Tang, Kehua Feng, Xiang Zhuang, Hongwei Wang, Yi Yang, Huifang Du, Zhangkai Ni, Shiqi Wang, Xiaohui Fan, Huabin Xing, Lei Bai, Qi Liu, Haofen Wang, Qiang Zhang, Huajun Chen</b:Middle>
          </b:Person>
        </b:NameList>
      </b:Author>
    </b:Author>
    <b:RefOrder>3</b:RefOrder>
  </b:Source>
  <b:Source>
    <b:Tag>Wol23</b:Tag>
    <b:SourceType>JournalArticle</b:SourceType>
    <b:Guid>{4508C15B-A827-432D-8EFE-30EABF502701}</b:Guid>
    <b:Author>
      <b:Author>
        <b:NameList>
          <b:Person>
            <b:Last>Hiller</b:Last>
            <b:First>Wolf</b:First>
          </b:Person>
          <b:Person>
            <b:Last>Grabe</b:Last>
            <b:First>Bastian</b:First>
          </b:Person>
        </b:NameList>
      </b:Author>
    </b:Author>
    <b:Title>The Universal Calibration for Structure- and Solvent-Independent Molar Mass Determinations of Polymers Using Diffusion-Ordered Spectroscopy</b:Title>
    <b:JournalName>Analytical Chemistry</b:JournalName>
    <b:Year>2023</b:Year>
    <b:Pages>18174–18179</b:Pages>
    <b:Volume>95</b:Volume>
    <b:Issue>49</b:Issue>
    <b:RefOrder>4</b:RefOrder>
  </b:Source>
  <b:Source>
    <b:Tag>Pie23</b:Tag>
    <b:SourceType>JournalArticle</b:SourceType>
    <b:Guid>{B2EAD675-1A4A-4116-8B0D-5F3057F56966}</b:Guid>
    <b:Author>
      <b:Author>
        <b:NameList>
          <b:Person>
            <b:Last>Voorter</b:Last>
            <b:First>Pieter-Jan</b:First>
          </b:Person>
          <b:Person>
            <b:Last>Wagner</b:Last>
            <b:First>Manfred</b:First>
          </b:Person>
          <b:Person>
            <b:Last>Rosenauer</b:Last>
            <b:First>Christine</b:First>
          </b:Person>
          <b:Person>
            <b:Last>Dai</b:Last>
            <b:First>Jinhuo</b:First>
          </b:Person>
          <b:Person>
            <b:Last>Subramanian</b:Last>
            <b:First>Priya</b:First>
          </b:Person>
          <b:Person>
            <b:Last>McKay</b:Last>
            <b:First>Alasdair</b:First>
          </b:Person>
        </b:NameList>
      </b:Author>
    </b:Author>
    <b:Title>A fast and efficient way of obtaining the average molecular weight of block copolymers via DOSY</b:Title>
    <b:JournalName>Polymer Chemistry</b:JournalName>
    <b:Year>2023</b:Year>
    <b:Pages>5140–5146</b:Pages>
    <b:Volume>14</b:Volume>
    <b:Issue>46</b:Issue>
    <b:RefOrder>5</b:RefOrder>
  </b:Source>
  <b:Source>
    <b:Tag>Tay23</b:Tag>
    <b:SourceType>JournalArticle</b:SourceType>
    <b:Guid>{93E56FD8-7156-4847-9856-402ED48799DC}</b:Guid>
    <b:Author>
      <b:Author>
        <b:NameList>
          <b:Person>
            <b:Last>Nelson</b:Last>
            <b:First>Taylor</b:First>
            <b:Middle>F.</b:Middle>
          </b:Person>
          <b:Person>
            <b:Last>Ward</b:Last>
            <b:First>Collin</b:First>
            <b:Middle>P.</b:Middle>
          </b:Person>
        </b:NameList>
      </b:Author>
    </b:Author>
    <b:Title>Diffusion-Ordered Spectroscopy for Rapid and Facile Determination</b:Title>
    <b:JournalName>Analytical Chemistry</b:JournalName>
    <b:Year>2023</b:Year>
    <b:Pages>8560–8568</b:Pages>
    <b:Volume>95</b:Volume>
    <b:Issue>22</b:Issue>
    <b:RefOrder>6</b:RefOrder>
  </b:Source>
  <b:Source>
    <b:Tag>Céc16</b:Tag>
    <b:SourceType>JournalArticle</b:SourceType>
    <b:Guid>{284A8B43-0535-4423-824C-9F5CD6A67946}</b:Guid>
    <b:Author>
      <b:Author>
        <b:NameList>
          <b:Person>
            <b:Last>Chamignon</b:Last>
            <b:First>Cécile</b:First>
          </b:Person>
          <b:Person>
            <b:Last>Duret</b:Last>
            <b:First>Damien</b:First>
          </b:Person>
          <b:Person>
            <b:Last>Charreyre</b:Last>
            <b:First>Marie-Thérèse</b:First>
          </b:Person>
          <b:Person>
            <b:Last>Favier</b:Last>
            <b:First>Arnaud</b:First>
          </b:Person>
        </b:NameList>
      </b:Author>
    </b:Author>
    <b:Title>1H DOSY NMR Determination of the Molecular Weight and the Solution Properties of Poly(N-acryloylmorpholine) in Various Solvents</b:Title>
    <b:JournalName>Macromolecular Chemistry and Physics</b:JournalName>
    <b:Year>2016</b:Year>
    <b:Pages>2286-2293</b:Pages>
    <b:Volume>217</b:Volume>
    <b:Issue>20</b:Issue>
    <b:RefOrder>7</b:RefOrder>
  </b:Source>
  <b:Source>
    <b:Tag>Ope26</b:Tag>
    <b:SourceType>InternetSite</b:SourceType>
    <b:Guid>{5E98A7AB-2B58-4B1A-A467-2715BEC8F97F}</b:Guid>
    <b:Title>OpenAI</b:Title>
    <b:Year>2026</b:Year>
    <b:Author>
      <b:Author>
        <b:Corporate>OpenAI</b:Corporate>
      </b:Author>
    </b:Author>
    <b:ProductionCompany>OpenAI</b:ProductionCompany>
    <b:Month>May</b:Month>
    <b:Day>20</b:Day>
    <b:YearAccessed>2026</b:YearAccessed>
    <b:MonthAccessed>July</b:MonthAccessed>
    <b:DayAccessed>29</b:DayAccessed>
    <b:URL>https://openai.com/index/model-disproves-discrete-geometry-conjecture/</b:URL>
    <b:RefOrder>8</b:RefOrder>
  </b:Source>
</b:Sources>
</file>

<file path=customXml/itemProps1.xml><?xml version="1.0" encoding="utf-8"?>
<ds:datastoreItem xmlns:ds="http://schemas.openxmlformats.org/officeDocument/2006/customXml" ds:itemID="{D16B5843-E846-498C-86A0-83E545726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3</Pages>
  <Words>1112</Words>
  <Characters>6784</Characters>
  <Application>Microsoft Office Word</Application>
  <DocSecurity>0</DocSecurity>
  <Lines>104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11</cp:revision>
  <dcterms:created xsi:type="dcterms:W3CDTF">2026-07-29T08:32:00Z</dcterms:created>
  <dcterms:modified xsi:type="dcterms:W3CDTF">2026-07-29T14:27:00Z</dcterms:modified>
</cp:coreProperties>
</file>