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240"/>
        <w:jc w:val="center"/>
      </w:pPr>
      <w:r>
        <w:drawing>
          <wp:inline xmlns:a="http://schemas.openxmlformats.org/drawingml/2006/main" xmlns:pic="http://schemas.openxmlformats.org/drawingml/2006/picture">
            <wp:extent cx="2194560" cy="2194560"/>
            <wp:docPr id="1" name="Picture 1"/>
            <wp:cNvGraphicFramePr>
              <a:graphicFrameLocks noChangeAspect="1"/>
            </wp:cNvGraphicFramePr>
            <a:graphic>
              <a:graphicData uri="http://schemas.openxmlformats.org/drawingml/2006/picture">
                <pic:pic>
                  <pic:nvPicPr>
                    <pic:cNvPr id="0" name="logo_upds.jpeg"/>
                    <pic:cNvPicPr/>
                  </pic:nvPicPr>
                  <pic:blipFill>
                    <a:blip r:embed="rId11"/>
                    <a:stretch>
                      <a:fillRect/>
                    </a:stretch>
                  </pic:blipFill>
                  <pic:spPr>
                    <a:xfrm>
                      <a:off x="0" y="0"/>
                      <a:ext cx="2194560" cy="2194560"/>
                    </a:xfrm>
                    <a:prstGeom prst="rect"/>
                  </pic:spPr>
                </pic:pic>
              </a:graphicData>
            </a:graphic>
          </wp:inline>
        </w:drawing>
      </w:r>
    </w:p>
    <w:p>
      <w:pPr>
        <w:spacing w:after="120" w:line="288" w:lineRule="auto"/>
        <w:jc w:val="center"/>
      </w:pPr>
      <w:r>
        <w:rPr>
          <w:rFonts w:ascii="Times New Roman" w:hAnsi="Times New Roman"/>
          <w:b/>
          <w:i w:val="0"/>
          <w:color w:val="1A366E"/>
          <w:sz w:val="30"/>
        </w:rPr>
        <w:t>UNIVERSIDAD PRIVADA DOMINGO SAVIO</w:t>
      </w:r>
    </w:p>
    <w:p>
      <w:pPr>
        <w:spacing w:after="560" w:line="288" w:lineRule="auto"/>
        <w:jc w:val="center"/>
      </w:pPr>
      <w:r>
        <w:rPr>
          <w:rFonts w:ascii="Times New Roman" w:hAnsi="Times New Roman"/>
          <w:b/>
          <w:i w:val="0"/>
          <w:color w:val="475569"/>
          <w:sz w:val="22"/>
        </w:rPr>
        <w:t>FACULTAD DE CIENCIAS DE LA COMPUTACIÓN Y TELECOMUNICACIONES</w:t>
        <w:br/>
        <w:t>INGENIERÍA EN SISTEMAS</w:t>
      </w:r>
    </w:p>
    <w:p>
      <w:pPr>
        <w:spacing w:after="120" w:line="288" w:lineRule="auto"/>
        <w:jc w:val="center"/>
      </w:pPr>
      <w:r>
        <w:rPr>
          <w:rFonts w:ascii="Times New Roman" w:hAnsi="Times New Roman"/>
          <w:b/>
          <w:i w:val="0"/>
          <w:color w:val="0F172A"/>
          <w:sz w:val="32"/>
        </w:rPr>
        <w:t>Actividad 03 — Backend Seguro y Base de Datos</w:t>
      </w:r>
    </w:p>
    <w:p>
      <w:pPr>
        <w:spacing w:after="120" w:line="288" w:lineRule="auto"/>
        <w:jc w:val="center"/>
      </w:pPr>
      <w:r>
        <w:rPr>
          <w:rFonts w:ascii="Times New Roman" w:hAnsi="Times New Roman"/>
          <w:b/>
          <w:i w:val="0"/>
          <w:color w:val="1E3A8A"/>
          <w:sz w:val="25"/>
        </w:rPr>
        <w:t>Desarrollo de la API REST (Flask, Blueprints, Supabase/PostgreSQL) con RLS, Autenticación JWT y Documentación Swagger</w:t>
      </w:r>
    </w:p>
    <w:p>
      <w:pPr>
        <w:spacing w:after="720" w:line="288" w:lineRule="auto"/>
        <w:jc w:val="center"/>
      </w:pPr>
      <w:r>
        <w:rPr>
          <w:rFonts w:ascii="Times New Roman" w:hAnsi="Times New Roman"/>
          <w:b w:val="0"/>
          <w:i/>
          <w:color w:val="64748B"/>
          <w:sz w:val="22"/>
        </w:rPr>
        <w:t>(Criterio de Verificación #2 — Matriz 2: Nivel Estratégico, 50 pts)</w:t>
      </w:r>
    </w:p>
    <w:p>
      <w:pPr>
        <w:spacing w:line="312" w:lineRule="auto" w:after="1000"/>
        <w:jc w:val="center"/>
      </w:pPr>
      <w:r>
        <w:rPr>
          <w:rFonts w:ascii="Times New Roman" w:hAnsi="Times New Roman"/>
          <w:b/>
          <w:sz w:val="22"/>
        </w:rPr>
        <w:t xml:space="preserve">Docente: </w:t>
      </w:r>
      <w:r>
        <w:rPr>
          <w:rFonts w:ascii="Times New Roman" w:hAnsi="Times New Roman"/>
          <w:sz w:val="22"/>
        </w:rPr>
        <w:t>Ing. Jimmy Requena (Bolivianotech)</w:t>
        <w:br/>
      </w:r>
      <w:r>
        <w:rPr>
          <w:rFonts w:ascii="Times New Roman" w:hAnsi="Times New Roman"/>
          <w:b/>
          <w:sz w:val="22"/>
        </w:rPr>
        <w:t xml:space="preserve">Asignatura: </w:t>
      </w:r>
      <w:r>
        <w:rPr>
          <w:rFonts w:ascii="Times New Roman" w:hAnsi="Times New Roman"/>
          <w:sz w:val="22"/>
        </w:rPr>
        <w:t>Programación Web II — Turno Medio Día</w:t>
        <w:br/>
      </w:r>
      <w:r>
        <w:rPr>
          <w:rFonts w:ascii="Times New Roman" w:hAnsi="Times New Roman"/>
          <w:b/>
          <w:sz w:val="22"/>
        </w:rPr>
        <w:t xml:space="preserve">Estudiantes (Pod de Ingeniería): </w:t>
      </w:r>
      <w:r>
        <w:rPr>
          <w:rFonts w:ascii="Times New Roman" w:hAnsi="Times New Roman"/>
          <w:sz w:val="22"/>
        </w:rPr>
        <w:t>Eduar Heredia Chávez &amp; Limbert David Quispe Osco</w:t>
        <w:br/>
      </w:r>
      <w:r>
        <w:rPr>
          <w:rFonts w:ascii="Times New Roman" w:hAnsi="Times New Roman"/>
          <w:b/>
          <w:sz w:val="22"/>
        </w:rPr>
        <w:t xml:space="preserve">Copiloto AI: </w:t>
      </w:r>
      <w:r>
        <w:rPr>
          <w:rFonts w:ascii="Times New Roman" w:hAnsi="Times New Roman"/>
          <w:sz w:val="22"/>
        </w:rPr>
        <w:t>Antigravity AI (Agente de Soporte AI-DLC)</w:t>
        <w:br/>
      </w:r>
      <w:r>
        <w:rPr>
          <w:rFonts w:ascii="Times New Roman" w:hAnsi="Times New Roman"/>
          <w:b/>
          <w:sz w:val="22"/>
        </w:rPr>
        <w:t xml:space="preserve">Proyecto Socioformativo: </w:t>
      </w:r>
      <w:r>
        <w:rPr>
          <w:rFonts w:ascii="Times New Roman" w:hAnsi="Times New Roman"/>
          <w:sz w:val="22"/>
        </w:rPr>
        <w:t>EcoFeria Santa Cruz: Canal Corto de Comercialización Agroecológica</w:t>
        <w:br/>
      </w:r>
    </w:p>
    <w:p>
      <w:pPr>
        <w:spacing w:after="120" w:line="288" w:lineRule="auto"/>
        <w:jc w:val="center"/>
      </w:pPr>
      <w:r>
        <w:rPr>
          <w:rFonts w:ascii="Times New Roman" w:hAnsi="Times New Roman"/>
          <w:b/>
          <w:i w:val="0"/>
          <w:color w:val="475569"/>
          <w:sz w:val="22"/>
        </w:rPr>
        <w:t>Santa Cruz de la Sierra — Bolivia</w:t>
        <w:br/>
        <w:t>Septiembre de 2026</w:t>
      </w:r>
    </w:p>
    <w:p>
      <w:r>
        <w:br w:type="page"/>
      </w:r>
    </w:p>
    <w:p>
      <w:pPr>
        <w:keepNext/>
        <w:spacing w:before="280" w:after="80"/>
        <w:jc w:val="left"/>
      </w:pPr>
      <w:r>
        <w:rPr>
          <w:rFonts w:ascii="Times New Roman" w:hAnsi="Times New Roman"/>
          <w:b/>
          <w:color w:val="1A366E"/>
          <w:sz w:val="28"/>
        </w:rPr>
        <w:t>Índice General</w:t>
      </w:r>
    </w:p>
    <w:tbl>
      <w:tblPr>
        <w:tblW w:type="auto" w:w="0"/>
        <w:jc w:val="center"/>
        <w:tblLayout w:type="fixed"/>
        <w:tblLook w:firstColumn="1" w:firstRow="1" w:lastColumn="0" w:lastRow="0" w:noHBand="0" w:noVBand="1" w:val="04A0"/>
      </w:tblPr>
      <w:tblGrid>
        <w:gridCol w:w="7920"/>
        <w:gridCol w:w="1440"/>
      </w:tblGrid>
      <w:tr>
        <w:tc>
          <w:tcPr>
            <w:tcW w:type="dxa" w:w="4680"/>
          </w:tcPr>
          <w:p>
            <w:pPr>
              <w:spacing w:after="40"/>
            </w:pPr>
            <w:r>
              <w:rPr>
                <w:rFonts w:ascii="Times New Roman" w:hAnsi="Times New Roman"/>
                <w:b/>
                <w:sz w:val="22"/>
              </w:rPr>
              <w:t>Resumen Ejecutivo y Palabras Clave</w:t>
            </w:r>
          </w:p>
        </w:tc>
        <w:tc>
          <w:tcPr>
            <w:tcW w:type="dxa" w:w="4680"/>
          </w:tcPr>
          <w:p>
            <w:pPr>
              <w:spacing w:after="40"/>
              <w:jc w:val="right"/>
            </w:pPr>
            <w:r>
              <w:rPr>
                <w:rFonts w:ascii="Times New Roman" w:hAnsi="Times New Roman"/>
                <w:sz w:val="22"/>
              </w:rPr>
              <w:t>3</w:t>
            </w:r>
          </w:p>
        </w:tc>
      </w:tr>
      <w:tr>
        <w:tc>
          <w:tcPr>
            <w:tcW w:type="dxa" w:w="4680"/>
          </w:tcPr>
          <w:p>
            <w:pPr>
              <w:spacing w:after="40"/>
            </w:pPr>
            <w:r>
              <w:rPr>
                <w:rFonts w:ascii="Times New Roman" w:hAnsi="Times New Roman"/>
                <w:b/>
                <w:sz w:val="22"/>
              </w:rPr>
              <w:t>1. Introducción y Contexto Territorial del Proyecto</w:t>
            </w:r>
          </w:p>
        </w:tc>
        <w:tc>
          <w:tcPr>
            <w:tcW w:type="dxa" w:w="4680"/>
          </w:tcPr>
          <w:p>
            <w:pPr>
              <w:spacing w:after="40"/>
              <w:jc w:val="right"/>
            </w:pPr>
            <w:r>
              <w:rPr>
                <w:rFonts w:ascii="Times New Roman" w:hAnsi="Times New Roman"/>
                <w:sz w:val="22"/>
              </w:rPr>
              <w:t>4</w:t>
            </w:r>
          </w:p>
        </w:tc>
      </w:tr>
      <w:tr>
        <w:tc>
          <w:tcPr>
            <w:tcW w:type="dxa" w:w="4680"/>
          </w:tcPr>
          <w:p>
            <w:pPr>
              <w:spacing w:after="40"/>
            </w:pPr>
            <w:r>
              <w:rPr>
                <w:rFonts w:ascii="Times New Roman" w:hAnsi="Times New Roman"/>
                <w:b/>
                <w:sz w:val="22"/>
              </w:rPr>
              <w:t>2. Marco Teórico y Fundamentos Tecnológicos</w:t>
            </w:r>
          </w:p>
        </w:tc>
        <w:tc>
          <w:tcPr>
            <w:tcW w:type="dxa" w:w="4680"/>
          </w:tcPr>
          <w:p>
            <w:pPr>
              <w:spacing w:after="40"/>
              <w:jc w:val="right"/>
            </w:pPr>
            <w:r>
              <w:rPr>
                <w:rFonts w:ascii="Times New Roman" w:hAnsi="Times New Roman"/>
                <w:sz w:val="22"/>
              </w:rPr>
              <w:t>5</w:t>
            </w:r>
          </w:p>
        </w:tc>
      </w:tr>
      <w:tr>
        <w:tc>
          <w:tcPr>
            <w:tcW w:type="dxa" w:w="4680"/>
          </w:tcPr>
          <w:p>
            <w:pPr>
              <w:spacing w:after="40"/>
            </w:pPr>
            <w:r>
              <w:rPr>
                <w:rFonts w:ascii="Times New Roman" w:hAnsi="Times New Roman"/>
                <w:b/>
                <w:sz w:val="22"/>
              </w:rPr>
              <w:t>3. Metodología de Trabajo y Roles en el Pod de Ingeniería</w:t>
            </w:r>
          </w:p>
        </w:tc>
        <w:tc>
          <w:tcPr>
            <w:tcW w:type="dxa" w:w="4680"/>
          </w:tcPr>
          <w:p>
            <w:pPr>
              <w:spacing w:after="40"/>
              <w:jc w:val="right"/>
            </w:pPr>
            <w:r>
              <w:rPr>
                <w:rFonts w:ascii="Times New Roman" w:hAnsi="Times New Roman"/>
                <w:sz w:val="22"/>
              </w:rPr>
              <w:t>7</w:t>
            </w:r>
          </w:p>
        </w:tc>
      </w:tr>
      <w:tr>
        <w:tc>
          <w:tcPr>
            <w:tcW w:type="dxa" w:w="4680"/>
          </w:tcPr>
          <w:p>
            <w:pPr>
              <w:spacing w:after="40"/>
            </w:pPr>
            <w:r>
              <w:rPr>
                <w:rFonts w:ascii="Times New Roman" w:hAnsi="Times New Roman"/>
                <w:b/>
                <w:sz w:val="22"/>
              </w:rPr>
              <w:t>4. Resultados e Implementación Técnica de la API REST</w:t>
            </w:r>
          </w:p>
        </w:tc>
        <w:tc>
          <w:tcPr>
            <w:tcW w:type="dxa" w:w="4680"/>
          </w:tcPr>
          <w:p>
            <w:pPr>
              <w:spacing w:after="40"/>
              <w:jc w:val="right"/>
            </w:pPr>
            <w:r>
              <w:rPr>
                <w:rFonts w:ascii="Times New Roman" w:hAnsi="Times New Roman"/>
                <w:sz w:val="22"/>
              </w:rPr>
              <w:t>8</w:t>
            </w:r>
          </w:p>
        </w:tc>
      </w:tr>
      <w:tr>
        <w:tc>
          <w:tcPr>
            <w:tcW w:type="dxa" w:w="4680"/>
          </w:tcPr>
          <w:p>
            <w:pPr>
              <w:spacing w:after="40"/>
            </w:pPr>
            <w:r>
              <w:rPr>
                <w:rFonts w:ascii="Times New Roman" w:hAnsi="Times New Roman"/>
                <w:sz w:val="22"/>
              </w:rPr>
              <w:t xml:space="preserve">    4.1. Arquitectura Backend Modular y Blueprints Desacoplados</w:t>
            </w:r>
          </w:p>
        </w:tc>
        <w:tc>
          <w:tcPr>
            <w:tcW w:type="dxa" w:w="4680"/>
          </w:tcPr>
          <w:p>
            <w:pPr>
              <w:spacing w:after="40"/>
              <w:jc w:val="right"/>
            </w:pPr>
            <w:r>
              <w:rPr>
                <w:rFonts w:ascii="Times New Roman" w:hAnsi="Times New Roman"/>
                <w:sz w:val="22"/>
              </w:rPr>
              <w:t>8</w:t>
            </w:r>
          </w:p>
        </w:tc>
      </w:tr>
      <w:tr>
        <w:tc>
          <w:tcPr>
            <w:tcW w:type="dxa" w:w="4680"/>
          </w:tcPr>
          <w:p>
            <w:pPr>
              <w:spacing w:after="40"/>
            </w:pPr>
            <w:r>
              <w:rPr>
                <w:rFonts w:ascii="Times New Roman" w:hAnsi="Times New Roman"/>
                <w:sz w:val="22"/>
              </w:rPr>
              <w:t xml:space="preserve">    4.2. Modelo Relacional y Políticas Row Level Security (RLS)</w:t>
            </w:r>
          </w:p>
        </w:tc>
        <w:tc>
          <w:tcPr>
            <w:tcW w:type="dxa" w:w="4680"/>
          </w:tcPr>
          <w:p>
            <w:pPr>
              <w:spacing w:after="40"/>
              <w:jc w:val="right"/>
            </w:pPr>
            <w:r>
              <w:rPr>
                <w:rFonts w:ascii="Times New Roman" w:hAnsi="Times New Roman"/>
                <w:sz w:val="22"/>
              </w:rPr>
              <w:t>9</w:t>
            </w:r>
          </w:p>
        </w:tc>
      </w:tr>
      <w:tr>
        <w:tc>
          <w:tcPr>
            <w:tcW w:type="dxa" w:w="4680"/>
          </w:tcPr>
          <w:p>
            <w:pPr>
              <w:spacing w:after="40"/>
            </w:pPr>
            <w:r>
              <w:rPr>
                <w:rFonts w:ascii="Times New Roman" w:hAnsi="Times New Roman"/>
                <w:sz w:val="22"/>
              </w:rPr>
              <w:t xml:space="preserve">    4.3. Evidencia Gráfica de Implementación en Supabase</w:t>
            </w:r>
          </w:p>
        </w:tc>
        <w:tc>
          <w:tcPr>
            <w:tcW w:type="dxa" w:w="4680"/>
          </w:tcPr>
          <w:p>
            <w:pPr>
              <w:spacing w:after="40"/>
              <w:jc w:val="right"/>
            </w:pPr>
            <w:r>
              <w:rPr>
                <w:rFonts w:ascii="Times New Roman" w:hAnsi="Times New Roman"/>
                <w:sz w:val="22"/>
              </w:rPr>
              <w:t>10</w:t>
            </w:r>
          </w:p>
        </w:tc>
      </w:tr>
      <w:tr>
        <w:tc>
          <w:tcPr>
            <w:tcW w:type="dxa" w:w="4680"/>
          </w:tcPr>
          <w:p>
            <w:pPr>
              <w:spacing w:after="40"/>
            </w:pPr>
            <w:r>
              <w:rPr>
                <w:rFonts w:ascii="Times New Roman" w:hAnsi="Times New Roman"/>
                <w:sz w:val="22"/>
              </w:rPr>
              <w:t xml:space="preserve">    4.4. Protocolo Criptográfico JWT y Estrategia de Dos Tokens</w:t>
            </w:r>
          </w:p>
        </w:tc>
        <w:tc>
          <w:tcPr>
            <w:tcW w:type="dxa" w:w="4680"/>
          </w:tcPr>
          <w:p>
            <w:pPr>
              <w:spacing w:after="40"/>
              <w:jc w:val="right"/>
            </w:pPr>
            <w:r>
              <w:rPr>
                <w:rFonts w:ascii="Times New Roman" w:hAnsi="Times New Roman"/>
                <w:sz w:val="22"/>
              </w:rPr>
              <w:t>11</w:t>
            </w:r>
          </w:p>
        </w:tc>
      </w:tr>
      <w:tr>
        <w:tc>
          <w:tcPr>
            <w:tcW w:type="dxa" w:w="4680"/>
          </w:tcPr>
          <w:p>
            <w:pPr>
              <w:spacing w:after="40"/>
            </w:pPr>
            <w:r>
              <w:rPr>
                <w:rFonts w:ascii="Times New Roman" w:hAnsi="Times New Roman"/>
                <w:sz w:val="22"/>
              </w:rPr>
              <w:t xml:space="preserve">    4.5. Especificación del Contrato OpenAPI 3.0.3 / Swagger UI</w:t>
            </w:r>
          </w:p>
        </w:tc>
        <w:tc>
          <w:tcPr>
            <w:tcW w:type="dxa" w:w="4680"/>
          </w:tcPr>
          <w:p>
            <w:pPr>
              <w:spacing w:after="40"/>
              <w:jc w:val="right"/>
            </w:pPr>
            <w:r>
              <w:rPr>
                <w:rFonts w:ascii="Times New Roman" w:hAnsi="Times New Roman"/>
                <w:sz w:val="22"/>
              </w:rPr>
              <w:t>12</w:t>
            </w:r>
          </w:p>
        </w:tc>
      </w:tr>
      <w:tr>
        <w:tc>
          <w:tcPr>
            <w:tcW w:type="dxa" w:w="4680"/>
          </w:tcPr>
          <w:p>
            <w:pPr>
              <w:spacing w:after="40"/>
            </w:pPr>
            <w:r>
              <w:rPr>
                <w:rFonts w:ascii="Times New Roman" w:hAnsi="Times New Roman"/>
                <w:sz w:val="22"/>
              </w:rPr>
              <w:t xml:space="preserve">    4.6. Auditoría de Ciberseguridad: Checklist OWASP API Top 10</w:t>
            </w:r>
          </w:p>
        </w:tc>
        <w:tc>
          <w:tcPr>
            <w:tcW w:type="dxa" w:w="4680"/>
          </w:tcPr>
          <w:p>
            <w:pPr>
              <w:spacing w:after="40"/>
              <w:jc w:val="right"/>
            </w:pPr>
            <w:r>
              <w:rPr>
                <w:rFonts w:ascii="Times New Roman" w:hAnsi="Times New Roman"/>
                <w:sz w:val="22"/>
              </w:rPr>
              <w:t>13</w:t>
            </w:r>
          </w:p>
        </w:tc>
      </w:tr>
      <w:tr>
        <w:tc>
          <w:tcPr>
            <w:tcW w:type="dxa" w:w="4680"/>
          </w:tcPr>
          <w:p>
            <w:pPr>
              <w:spacing w:after="40"/>
            </w:pPr>
            <w:r>
              <w:rPr>
                <w:rFonts w:ascii="Times New Roman" w:hAnsi="Times New Roman"/>
                <w:sz w:val="22"/>
              </w:rPr>
              <w:t xml:space="preserve">    4.7. Matriz de Trazabilidad Integral (Casos de Uso CU-01 al CU-04)</w:t>
            </w:r>
          </w:p>
        </w:tc>
        <w:tc>
          <w:tcPr>
            <w:tcW w:type="dxa" w:w="4680"/>
          </w:tcPr>
          <w:p>
            <w:pPr>
              <w:spacing w:after="40"/>
              <w:jc w:val="right"/>
            </w:pPr>
            <w:r>
              <w:rPr>
                <w:rFonts w:ascii="Times New Roman" w:hAnsi="Times New Roman"/>
                <w:sz w:val="22"/>
              </w:rPr>
              <w:t>15</w:t>
            </w:r>
          </w:p>
        </w:tc>
      </w:tr>
      <w:tr>
        <w:tc>
          <w:tcPr>
            <w:tcW w:type="dxa" w:w="4680"/>
          </w:tcPr>
          <w:p>
            <w:pPr>
              <w:spacing w:after="40"/>
            </w:pPr>
            <w:r>
              <w:rPr>
                <w:rFonts w:ascii="Times New Roman" w:hAnsi="Times New Roman"/>
                <w:b/>
                <w:sz w:val="22"/>
              </w:rPr>
              <w:t>5. Verificación de Calidad y Pruebas Automatizadas (Pytest)</w:t>
            </w:r>
          </w:p>
        </w:tc>
        <w:tc>
          <w:tcPr>
            <w:tcW w:type="dxa" w:w="4680"/>
          </w:tcPr>
          <w:p>
            <w:pPr>
              <w:spacing w:after="40"/>
              <w:jc w:val="right"/>
            </w:pPr>
            <w:r>
              <w:rPr>
                <w:rFonts w:ascii="Times New Roman" w:hAnsi="Times New Roman"/>
                <w:sz w:val="22"/>
              </w:rPr>
              <w:t>16</w:t>
            </w:r>
          </w:p>
        </w:tc>
      </w:tr>
      <w:tr>
        <w:tc>
          <w:tcPr>
            <w:tcW w:type="dxa" w:w="4680"/>
          </w:tcPr>
          <w:p>
            <w:pPr>
              <w:spacing w:after="40"/>
            </w:pPr>
            <w:r>
              <w:rPr>
                <w:rFonts w:ascii="Times New Roman" w:hAnsi="Times New Roman"/>
                <w:sz w:val="22"/>
              </w:rPr>
              <w:t xml:space="preserve">    5.1. Batería de 22 Pruebas Unitarias y de Integración</w:t>
            </w:r>
          </w:p>
        </w:tc>
        <w:tc>
          <w:tcPr>
            <w:tcW w:type="dxa" w:w="4680"/>
          </w:tcPr>
          <w:p>
            <w:pPr>
              <w:spacing w:after="40"/>
              <w:jc w:val="right"/>
            </w:pPr>
            <w:r>
              <w:rPr>
                <w:rFonts w:ascii="Times New Roman" w:hAnsi="Times New Roman"/>
                <w:sz w:val="22"/>
              </w:rPr>
              <w:t>16</w:t>
            </w:r>
          </w:p>
        </w:tc>
      </w:tr>
      <w:tr>
        <w:tc>
          <w:tcPr>
            <w:tcW w:type="dxa" w:w="4680"/>
          </w:tcPr>
          <w:p>
            <w:pPr>
              <w:spacing w:after="40"/>
            </w:pPr>
            <w:r>
              <w:rPr>
                <w:rFonts w:ascii="Times New Roman" w:hAnsi="Times New Roman"/>
                <w:sz w:val="22"/>
              </w:rPr>
              <w:t xml:space="preserve">    5.2. Respuestas Técnicas Fundamentadas a las Preguntas de Cátedra</w:t>
            </w:r>
          </w:p>
        </w:tc>
        <w:tc>
          <w:tcPr>
            <w:tcW w:type="dxa" w:w="4680"/>
          </w:tcPr>
          <w:p>
            <w:pPr>
              <w:spacing w:after="40"/>
              <w:jc w:val="right"/>
            </w:pPr>
            <w:r>
              <w:rPr>
                <w:rFonts w:ascii="Times New Roman" w:hAnsi="Times New Roman"/>
                <w:sz w:val="22"/>
              </w:rPr>
              <w:t>18</w:t>
            </w:r>
          </w:p>
        </w:tc>
      </w:tr>
      <w:tr>
        <w:tc>
          <w:tcPr>
            <w:tcW w:type="dxa" w:w="4680"/>
          </w:tcPr>
          <w:p>
            <w:pPr>
              <w:spacing w:after="40"/>
            </w:pPr>
            <w:r>
              <w:rPr>
                <w:rFonts w:ascii="Times New Roman" w:hAnsi="Times New Roman"/>
                <w:b/>
                <w:sz w:val="22"/>
              </w:rPr>
              <w:t>6. Guía y Configuración de Despliegue en la Nube (Render)</w:t>
            </w:r>
          </w:p>
        </w:tc>
        <w:tc>
          <w:tcPr>
            <w:tcW w:type="dxa" w:w="4680"/>
          </w:tcPr>
          <w:p>
            <w:pPr>
              <w:spacing w:after="40"/>
              <w:jc w:val="right"/>
            </w:pPr>
            <w:r>
              <w:rPr>
                <w:rFonts w:ascii="Times New Roman" w:hAnsi="Times New Roman"/>
                <w:sz w:val="22"/>
              </w:rPr>
              <w:t>20</w:t>
            </w:r>
          </w:p>
        </w:tc>
      </w:tr>
      <w:tr>
        <w:tc>
          <w:tcPr>
            <w:tcW w:type="dxa" w:w="4680"/>
          </w:tcPr>
          <w:p>
            <w:pPr>
              <w:spacing w:after="40"/>
            </w:pPr>
            <w:r>
              <w:rPr>
                <w:rFonts w:ascii="Times New Roman" w:hAnsi="Times New Roman"/>
                <w:b/>
                <w:sz w:val="22"/>
              </w:rPr>
              <w:t>7. Discusión Técnica y Normativa (Ley 164 y Soberanía Tecnológica)</w:t>
            </w:r>
          </w:p>
        </w:tc>
        <w:tc>
          <w:tcPr>
            <w:tcW w:type="dxa" w:w="4680"/>
          </w:tcPr>
          <w:p>
            <w:pPr>
              <w:spacing w:after="40"/>
              <w:jc w:val="right"/>
            </w:pPr>
            <w:r>
              <w:rPr>
                <w:rFonts w:ascii="Times New Roman" w:hAnsi="Times New Roman"/>
                <w:sz w:val="22"/>
              </w:rPr>
              <w:t>21</w:t>
            </w:r>
          </w:p>
        </w:tc>
      </w:tr>
      <w:tr>
        <w:tc>
          <w:tcPr>
            <w:tcW w:type="dxa" w:w="4680"/>
          </w:tcPr>
          <w:p>
            <w:pPr>
              <w:spacing w:after="40"/>
            </w:pPr>
            <w:r>
              <w:rPr>
                <w:rFonts w:ascii="Times New Roman" w:hAnsi="Times New Roman"/>
                <w:b/>
                <w:sz w:val="22"/>
              </w:rPr>
              <w:t>8. Conclusiones</w:t>
            </w:r>
          </w:p>
        </w:tc>
        <w:tc>
          <w:tcPr>
            <w:tcW w:type="dxa" w:w="4680"/>
          </w:tcPr>
          <w:p>
            <w:pPr>
              <w:spacing w:after="40"/>
              <w:jc w:val="right"/>
            </w:pPr>
            <w:r>
              <w:rPr>
                <w:rFonts w:ascii="Times New Roman" w:hAnsi="Times New Roman"/>
                <w:sz w:val="22"/>
              </w:rPr>
              <w:t>22</w:t>
            </w:r>
          </w:p>
        </w:tc>
      </w:tr>
      <w:tr>
        <w:tc>
          <w:tcPr>
            <w:tcW w:type="dxa" w:w="4680"/>
          </w:tcPr>
          <w:p>
            <w:pPr>
              <w:spacing w:after="40"/>
            </w:pPr>
            <w:r>
              <w:rPr>
                <w:rFonts w:ascii="Times New Roman" w:hAnsi="Times New Roman"/>
                <w:b/>
                <w:sz w:val="22"/>
              </w:rPr>
              <w:t>9. Referencias Bibliográficas (Normas APA 7)</w:t>
            </w:r>
          </w:p>
        </w:tc>
        <w:tc>
          <w:tcPr>
            <w:tcW w:type="dxa" w:w="4680"/>
          </w:tcPr>
          <w:p>
            <w:pPr>
              <w:spacing w:after="40"/>
              <w:jc w:val="right"/>
            </w:pPr>
            <w:r>
              <w:rPr>
                <w:rFonts w:ascii="Times New Roman" w:hAnsi="Times New Roman"/>
                <w:sz w:val="22"/>
              </w:rPr>
              <w:t>23</w:t>
            </w:r>
          </w:p>
        </w:tc>
      </w:tr>
      <w:tr>
        <w:tc>
          <w:tcPr>
            <w:tcW w:type="dxa" w:w="4680"/>
          </w:tcPr>
          <w:p>
            <w:pPr>
              <w:spacing w:after="40"/>
            </w:pPr>
            <w:r>
              <w:rPr>
                <w:rFonts w:ascii="Times New Roman" w:hAnsi="Times New Roman"/>
                <w:b/>
                <w:sz w:val="22"/>
              </w:rPr>
              <w:t>10. Anexos Obligatorios</w:t>
            </w:r>
          </w:p>
        </w:tc>
        <w:tc>
          <w:tcPr>
            <w:tcW w:type="dxa" w:w="4680"/>
          </w:tcPr>
          <w:p>
            <w:pPr>
              <w:spacing w:after="40"/>
              <w:jc w:val="right"/>
            </w:pPr>
            <w:r>
              <w:rPr>
                <w:rFonts w:ascii="Times New Roman" w:hAnsi="Times New Roman"/>
                <w:sz w:val="22"/>
              </w:rPr>
              <w:t>24</w:t>
            </w:r>
          </w:p>
        </w:tc>
      </w:tr>
      <w:tr>
        <w:tc>
          <w:tcPr>
            <w:tcW w:type="dxa" w:w="4680"/>
          </w:tcPr>
          <w:p>
            <w:pPr>
              <w:spacing w:after="40"/>
            </w:pPr>
            <w:r>
              <w:rPr>
                <w:rFonts w:ascii="Times New Roman" w:hAnsi="Times New Roman"/>
                <w:sz w:val="22"/>
              </w:rPr>
              <w:t xml:space="preserve">    Anexo A: Matriz de Auditoría y Transparencia del Uso de IA (AI-DLC)</w:t>
            </w:r>
          </w:p>
        </w:tc>
        <w:tc>
          <w:tcPr>
            <w:tcW w:type="dxa" w:w="4680"/>
          </w:tcPr>
          <w:p>
            <w:pPr>
              <w:spacing w:after="40"/>
              <w:jc w:val="right"/>
            </w:pPr>
            <w:r>
              <w:rPr>
                <w:rFonts w:ascii="Times New Roman" w:hAnsi="Times New Roman"/>
                <w:sz w:val="22"/>
              </w:rPr>
              <w:t>24</w:t>
            </w:r>
          </w:p>
        </w:tc>
      </w:tr>
      <w:tr>
        <w:tc>
          <w:tcPr>
            <w:tcW w:type="dxa" w:w="4680"/>
          </w:tcPr>
          <w:p>
            <w:pPr>
              <w:spacing w:after="40"/>
            </w:pPr>
            <w:r>
              <w:rPr>
                <w:rFonts w:ascii="Times New Roman" w:hAnsi="Times New Roman"/>
                <w:sz w:val="22"/>
              </w:rPr>
              <w:t xml:space="preserve">    Anexo B: Acta de la Sesión de Mob Construction (Bloque III)</w:t>
            </w:r>
          </w:p>
        </w:tc>
        <w:tc>
          <w:tcPr>
            <w:tcW w:type="dxa" w:w="4680"/>
          </w:tcPr>
          <w:p>
            <w:pPr>
              <w:spacing w:after="40"/>
              <w:jc w:val="right"/>
            </w:pPr>
            <w:r>
              <w:rPr>
                <w:rFonts w:ascii="Times New Roman" w:hAnsi="Times New Roman"/>
                <w:sz w:val="22"/>
              </w:rPr>
              <w:t>27</w:t>
            </w:r>
          </w:p>
        </w:tc>
      </w:tr>
    </w:tbl>
    <w:p>
      <w:r>
        <w:br w:type="page"/>
      </w:r>
    </w:p>
    <w:p>
      <w:pPr>
        <w:keepNext/>
        <w:spacing w:before="280" w:after="80"/>
        <w:jc w:val="left"/>
      </w:pPr>
      <w:r>
        <w:rPr>
          <w:rFonts w:ascii="Times New Roman" w:hAnsi="Times New Roman"/>
          <w:b/>
          <w:color w:val="1A366E"/>
          <w:sz w:val="28"/>
        </w:rPr>
        <w:t>Resumen</w:t>
      </w:r>
    </w:p>
    <w:p>
      <w:pPr>
        <w:spacing w:after="120" w:line="288" w:lineRule="auto"/>
        <w:jc w:val="both"/>
      </w:pPr>
      <w:r>
        <w:rPr>
          <w:rFonts w:ascii="Times New Roman" w:hAnsi="Times New Roman"/>
          <w:b w:val="0"/>
          <w:i w:val="0"/>
          <w:sz w:val="24"/>
        </w:rPr>
        <w:t>El presente informe técnico de ingeniería documenta la culminación y defensa técnica de la Actividad 03 de la asignatura Programación Web II en la Universidad Privada Domingo Savio (UPDS). El proyecto socioformativo de la materia responde a la problemática territorial de los valles cruceños (Samaipata, El Torno, Vallegrande, Porongo) y zonas periurbanas de Santa Cruz de la Sierra: la severa intermediación comercial (pérdida de hasta el 45% del valor en chacra) y las altas mermas post-cosecha (28%) provocadas por la ausencia de canales de reserva directa anticipada y las altas temperaturas tropicales (&gt; 32 °C). Para resolver esta brecha de manera sostenible y con costo de infraestructura de 0 Bs, el pod de ingeniería desarrolló una API RESTful desacoplada con Python 3.11, el microframework Flask 3.0.3 estructurado mediante el patrón Application Factory y Blueprints independientes, serialización con Flask-Smorest/Marshmallow y documentación interactiva bajo el estándar OpenAPI 3.0.3 en Swagger UI (/docs). La persistencia y el aislamiento multi-inquilino se gobiernan directamente en la base de datos relacional PostgreSQL alojada en Supabase mediante políticas nativas de Row Level Security (RLS) habilitadas en el 100% de las tablas. La autenticación y autorización se rigen por el estándar criptográfico JWT (RFC 7519 y RFC 6749) bajo una estrategia dual: Access Tokens de vida corta (15 minutos) y Refresh Tokens de vida larga (7 días) con rotación estricta y decorador de control con 5 comprobaciones (incluyendo tolerancia de reloj de 10 segundos). Se ejecutó una auditoría exhaustiva bajo el estándar OWASP API Security Top 10 (2023) mitigando la totalidad de los diez vectores de riesgo, y se certificó la calidad del sistema mediante una batería de 22 pruebas automatizadas en Pytest aprobadas al 100% en 0.29 segundos. Finalmente, se incluye la matriz de auditoría AI-DLC detallando la formulación de scripts y configuraciones de despliegue con sus correspondientes métodos de verificación humana.</w:t>
      </w:r>
    </w:p>
    <w:p>
      <w:pPr>
        <w:spacing w:after="120" w:line="288" w:lineRule="auto" w:before="160"/>
        <w:jc w:val="both"/>
      </w:pPr>
      <w:r>
        <w:rPr>
          <w:rFonts w:ascii="Times New Roman" w:hAnsi="Times New Roman"/>
          <w:b/>
          <w:i/>
          <w:sz w:val="22"/>
        </w:rPr>
        <w:t xml:space="preserve">Palabras clave: </w:t>
      </w:r>
      <w:r>
        <w:rPr>
          <w:rFonts w:ascii="Times New Roman" w:hAnsi="Times New Roman"/>
          <w:i/>
          <w:sz w:val="22"/>
        </w:rPr>
        <w:t>API REST, Python Flask, Supabase, PostgreSQL, Row Level Security (RLS), JSON Web Token (JWT), OWASP API Security Top 10, OpenAPI 3.0.3, Swagger UI, Pytest, AI-DLC, EcoFeria Santa Cruz.</w:t>
      </w:r>
    </w:p>
    <w:p>
      <w:pPr>
        <w:keepNext/>
        <w:spacing w:before="280" w:after="80"/>
        <w:jc w:val="left"/>
      </w:pPr>
      <w:r>
        <w:rPr>
          <w:rFonts w:ascii="Times New Roman" w:hAnsi="Times New Roman"/>
          <w:b/>
          <w:color w:val="1A366E"/>
          <w:sz w:val="28"/>
        </w:rPr>
        <w:t>1. Introducción y Contexto Territorial del Proyecto</w:t>
      </w:r>
    </w:p>
    <w:p>
      <w:pPr>
        <w:spacing w:after="120" w:line="288" w:lineRule="auto"/>
        <w:jc w:val="both"/>
      </w:pPr>
      <w:r>
        <w:rPr>
          <w:rFonts w:ascii="Times New Roman" w:hAnsi="Times New Roman"/>
          <w:b w:val="0"/>
          <w:i w:val="0"/>
          <w:sz w:val="24"/>
        </w:rPr>
        <w:t>En el contexto socioeconómico y productivo del departamento de Santa Cruz, la producción agroecológica representa una alternativa estratégica indispensable frente al avance del monocultivo intensivo y las crisis ecológicas recurrentes agravadas por la deforestación y los incendios forestales. No obstante, los pequeños productores ecológicos asentados en los valles cruceños y en municipios periurbanos como Santa Cruz de la Sierra, La Guardia, El Torno y Porongo enfrentan un cuello de botella estructural: la cadena de comercialización y la brecha de acceso tecnológico (Centro de Investigación y Promoción del Campesinado [CIPCA], 2023).</w:t>
      </w:r>
    </w:p>
    <w:p>
      <w:pPr>
        <w:spacing w:after="120" w:line="288" w:lineRule="auto"/>
        <w:jc w:val="both"/>
      </w:pPr>
      <w:r>
        <w:rPr>
          <w:rFonts w:ascii="Times New Roman" w:hAnsi="Times New Roman"/>
          <w:b w:val="0"/>
          <w:i w:val="0"/>
          <w:sz w:val="24"/>
        </w:rPr>
        <w:t>De acuerdo con los diagnósticos oficiales presentados en la Actividad 01, el 68% de las familias productoras carece de mecanismos de venta directa, lo que permite que intermediarios mayoristas capturen hasta el 45% del valor de cada cosecha. Asimismo, el boletín sectorial de la Cámara Agropecuaria del Oriente [CAO] (2024) evidencia que el 28% de la cosecha de hortalizas y frutas frescas se pierde por no contar con un mecanismo de preventa o reserva anticipada, forzando a los campesinos a llevar canastos a ciegas a las ferias dominicales, donde el calor tropical deteriora la mercadería.</w:t>
      </w:r>
    </w:p>
    <w:p>
      <w:pPr>
        <w:spacing w:after="120" w:line="288" w:lineRule="auto"/>
        <w:jc w:val="both"/>
      </w:pPr>
      <w:r>
        <w:rPr>
          <w:rFonts w:ascii="Times New Roman" w:hAnsi="Times New Roman"/>
          <w:b w:val="0"/>
          <w:i w:val="0"/>
          <w:sz w:val="24"/>
        </w:rPr>
        <w:t>Para responder a esta necesidad con rigor de ingeniería de software, el proceso formativo se estructuró de manera incremental y modular a lo largo de tres actividades concatenadas:</w:t>
      </w:r>
    </w:p>
    <w:p>
      <w:pPr>
        <w:spacing w:after="80" w:line="276" w:lineRule="auto"/>
        <w:ind w:left="432"/>
        <w:jc w:val="both"/>
      </w:pPr>
      <w:r>
        <w:rPr>
          <w:rFonts w:ascii="Times New Roman" w:hAnsi="Times New Roman"/>
          <w:b/>
          <w:color w:val="1A366E"/>
        </w:rPr>
        <w:t xml:space="preserve">• </w:t>
      </w:r>
      <w:r>
        <w:rPr>
          <w:rFonts w:ascii="Times New Roman" w:hAnsi="Times New Roman"/>
          <w:sz w:val="23"/>
        </w:rPr>
        <w:t>Actividad 01 (Inception y Alcance): Diagnóstico del dolor territorial, delimitación del Producto Mínimo Viable (MVP), diseño del modelo relacional de cuatro entidades (Productor, Producto, Pedido, DetallePedido), especificación de cuatro casos de uso (CU-01 a CU-04) y establecimiento de un presupuesto de rendimiento exigente (peso total ≤ 500 KB, coste operativo de 0 Bs).</w:t>
      </w:r>
    </w:p>
    <w:p>
      <w:pPr>
        <w:spacing w:after="80" w:line="276" w:lineRule="auto"/>
        <w:ind w:left="432"/>
        <w:jc w:val="both"/>
      </w:pPr>
      <w:r>
        <w:rPr>
          <w:rFonts w:ascii="Times New Roman" w:hAnsi="Times New Roman"/>
          <w:b/>
          <w:color w:val="1A366E"/>
        </w:rPr>
        <w:t xml:space="preserve">• </w:t>
      </w:r>
      <w:r>
        <w:rPr>
          <w:rFonts w:ascii="Times New Roman" w:hAnsi="Times New Roman"/>
          <w:sz w:val="23"/>
        </w:rPr>
        <w:t>Actividad 02 (Construcción del Frontend): Implementación de una Single Page Application (SPA) responsive Mobile-First desarrollada en React 18, Vite y Tailwind CSS v4, con formularios validados en tiempo real, catálogo interactivo, tour guiado con Driver.js y desacoplamiento mediante una API simulada.</w:t>
      </w:r>
    </w:p>
    <w:p>
      <w:pPr>
        <w:spacing w:after="80" w:line="276" w:lineRule="auto"/>
        <w:ind w:left="432"/>
        <w:jc w:val="both"/>
      </w:pPr>
      <w:r>
        <w:rPr>
          <w:rFonts w:ascii="Times New Roman" w:hAnsi="Times New Roman"/>
          <w:b/>
          <w:color w:val="1A366E"/>
        </w:rPr>
        <w:t xml:space="preserve">• </w:t>
      </w:r>
      <w:r>
        <w:rPr>
          <w:rFonts w:ascii="Times New Roman" w:hAnsi="Times New Roman"/>
          <w:sz w:val="23"/>
        </w:rPr>
        <w:t>Actividad 03 (Backend Seguro y Base de Datos - Presente Entrega): Construcción de la API REST definitiva en Python Flask 3, modularizada mediante Blueprints, gobernada por políticas de Row Level Security (RLS) en PostgreSQL/Supabase, asegurada criptográficamente con tokens JWT (Access y Refresh rotativos), documentada interactivamente con Swagger UI (/docs) y auditada bajo los estándares de ciberseguridad OWASP API Security Top 10.</w:t>
      </w:r>
    </w:p>
    <w:p>
      <w:pPr>
        <w:keepNext/>
        <w:spacing w:before="280" w:after="80"/>
        <w:jc w:val="left"/>
      </w:pPr>
      <w:r>
        <w:rPr>
          <w:rFonts w:ascii="Times New Roman" w:hAnsi="Times New Roman"/>
          <w:b/>
          <w:color w:val="1A366E"/>
          <w:sz w:val="28"/>
        </w:rPr>
        <w:t>2. Marco Teórico y Fundamentos Tecnológicos</w:t>
      </w:r>
    </w:p>
    <w:p>
      <w:pPr>
        <w:keepNext/>
        <w:spacing w:before="200" w:after="60"/>
        <w:jc w:val="left"/>
      </w:pPr>
      <w:r>
        <w:rPr>
          <w:rFonts w:ascii="Times New Roman" w:hAnsi="Times New Roman"/>
          <w:b/>
          <w:color w:val="0F172A"/>
          <w:sz w:val="25"/>
        </w:rPr>
        <w:t>2.1. El Ciclo de Desarrollo Asistido por Inteligencia Artificial (AI-DLC)</w:t>
      </w:r>
    </w:p>
    <w:p>
      <w:pPr>
        <w:spacing w:after="120" w:line="288" w:lineRule="auto"/>
        <w:jc w:val="both"/>
      </w:pPr>
      <w:r>
        <w:rPr>
          <w:rFonts w:ascii="Times New Roman" w:hAnsi="Times New Roman"/>
          <w:b w:val="0"/>
          <w:i w:val="0"/>
          <w:sz w:val="24"/>
        </w:rPr>
        <w:t>A diferencia de las metodologías ágiles convencionales que estructuran sprints de dos a cuatro semanas, el paradigma AI-DLC reconfigura los procesos de ingeniería en bucles de retroalimentación inmediata integrando tres etapas continuas: Inception, Construction y Operation (Gartner, 2024). En lugar de extensas plantillas burocráticas, el trabajo se concentra en Pods conformados por dos desarrolladores humanos respaldados por un copiloto de Inteligencia Artificial Generativa. Durante la fase de Construction, el pod realiza sesiones de Mob Construction, donde la IA desafía los supuestos del problema formulando propuestas técnicas y borradores de código, mientras que los ingenieros humanos toman las decisiones críticas de arquitectura, auditan la seguridad y restringen el alcance. El principio ético rector establece que la IA sugiere artefactos y scripts, pero la responsabilidad y la validación final permanecen ineludiblemente en manos humanas.</w:t>
      </w:r>
    </w:p>
    <w:p>
      <w:pPr>
        <w:keepNext/>
        <w:spacing w:before="200" w:after="60"/>
        <w:jc w:val="left"/>
      </w:pPr>
      <w:r>
        <w:rPr>
          <w:rFonts w:ascii="Times New Roman" w:hAnsi="Times New Roman"/>
          <w:b/>
          <w:color w:val="0F172A"/>
          <w:sz w:val="25"/>
        </w:rPr>
        <w:t>2.2. Arquitectura Backend Desacoplada y Patrón Application Factory</w:t>
      </w:r>
    </w:p>
    <w:p>
      <w:pPr>
        <w:spacing w:after="120" w:line="288" w:lineRule="auto"/>
        <w:jc w:val="both"/>
      </w:pPr>
      <w:r>
        <w:rPr>
          <w:rFonts w:ascii="Times New Roman" w:hAnsi="Times New Roman"/>
          <w:b w:val="0"/>
          <w:i w:val="0"/>
          <w:sz w:val="24"/>
        </w:rPr>
        <w:t>Conforme a las buenas prácticas de diseño de software mantenible, se descarta el antipatrón del archivo monolítico gigante (ej. app.py conteniendo todas las rutas y modelos). En su lugar, se adopta el patrón Application Factory (create_app), que permite instanciar dinámicamente la aplicación web y registrar módulos funcionales aislados conocidos como Blueprints (Grinberg, 2018). Este patrón optimiza la separación de responsabilidades, facilita la inyección de configuraciones diferenciadas (desarrollo, testing, producción) y permite aislar las pruebas automatizadas sin efectos colaterales de estado global.</w:t>
      </w:r>
    </w:p>
    <w:p>
      <w:pPr>
        <w:keepNext/>
        <w:spacing w:before="200" w:after="60"/>
        <w:jc w:val="left"/>
      </w:pPr>
      <w:r>
        <w:rPr>
          <w:rFonts w:ascii="Times New Roman" w:hAnsi="Times New Roman"/>
          <w:b/>
          <w:color w:val="0F172A"/>
          <w:sz w:val="25"/>
        </w:rPr>
        <w:t>2.3. Protocolo Criptográfico JWT y Ciclo de Vida de Tokens (RFC 7519 y RFC 6749)</w:t>
      </w:r>
    </w:p>
    <w:p>
      <w:pPr>
        <w:spacing w:after="120" w:line="288" w:lineRule="auto"/>
        <w:jc w:val="both"/>
      </w:pPr>
      <w:r>
        <w:rPr>
          <w:rFonts w:ascii="Times New Roman" w:hAnsi="Times New Roman"/>
          <w:b w:val="0"/>
          <w:i w:val="0"/>
          <w:sz w:val="24"/>
        </w:rPr>
        <w:t>El estándar JSON Web Token (JWT, RFC 7519) permite la transmisión compacta y autónoma de reclamos de identidad firmados digitalmente. Para equilibrar la seguridad con la experiencia de usuario en redes móviles del campo cruceño, se adopta la recomendación del estándar OAuth 2.0 (RFC 6749) mediante una arquitectura de dos tokens:</w:t>
      </w:r>
    </w:p>
    <w:p>
      <w:pPr>
        <w:spacing w:after="80" w:line="276" w:lineRule="auto"/>
        <w:ind w:left="432"/>
        <w:jc w:val="both"/>
      </w:pPr>
      <w:r>
        <w:rPr>
          <w:rFonts w:ascii="Times New Roman" w:hAnsi="Times New Roman"/>
          <w:b/>
          <w:color w:val="1A366E"/>
        </w:rPr>
        <w:t xml:space="preserve">• </w:t>
      </w:r>
      <w:r>
        <w:rPr>
          <w:rFonts w:ascii="Times New Roman" w:hAnsi="Times New Roman"/>
          <w:sz w:val="23"/>
        </w:rPr>
        <w:t>Access Token (Vida Corta - 15 minutos): Token de autorización que viaja en la cabecera HTTP 'Authorization: Bearer &lt;token&gt;' en cada petición protegida. Su corta vigencia minimiza la ventana de exposición ante eventuales filtraciones en tránsito.</w:t>
      </w:r>
    </w:p>
    <w:p>
      <w:pPr>
        <w:spacing w:after="80" w:line="276" w:lineRule="auto"/>
        <w:ind w:left="432"/>
        <w:jc w:val="both"/>
      </w:pPr>
      <w:r>
        <w:rPr>
          <w:rFonts w:ascii="Times New Roman" w:hAnsi="Times New Roman"/>
          <w:b/>
          <w:color w:val="1A366E"/>
        </w:rPr>
        <w:t xml:space="preserve">• </w:t>
      </w:r>
      <w:r>
        <w:rPr>
          <w:rFonts w:ascii="Times New Roman" w:hAnsi="Times New Roman"/>
          <w:sz w:val="23"/>
        </w:rPr>
        <w:t>Refresh Token (Vida Larga - 7 días): Token de persistencia enviado exclusivamente al endpoint '/api/auth/refresh'. Aplica una política de rotación estricta (Refresh Token Rotation): cada uso invalida el token actual y emite un nuevo par, mitigando de raíz los ataques de repetición o secuestro de sesión.</w:t>
      </w:r>
    </w:p>
    <w:p>
      <w:pPr>
        <w:keepNext/>
        <w:spacing w:before="200" w:after="60"/>
        <w:jc w:val="left"/>
      </w:pPr>
      <w:r>
        <w:rPr>
          <w:rFonts w:ascii="Times New Roman" w:hAnsi="Times New Roman"/>
          <w:b/>
          <w:color w:val="0F172A"/>
          <w:sz w:val="25"/>
        </w:rPr>
        <w:t>2.4. Seguridad en Base de Datos: Row Level Security (RLS) en PostgreSQL</w:t>
      </w:r>
    </w:p>
    <w:p>
      <w:pPr>
        <w:spacing w:after="120" w:line="288" w:lineRule="auto"/>
        <w:jc w:val="both"/>
      </w:pPr>
      <w:r>
        <w:rPr>
          <w:rFonts w:ascii="Times New Roman" w:hAnsi="Times New Roman"/>
          <w:b w:val="0"/>
          <w:i w:val="0"/>
          <w:sz w:val="24"/>
        </w:rPr>
        <w:t>El principio de Defensa en Profundidad (Defense in Depth) exige que la seguridad no dependa exclusivamente del código de la aplicación (Saltzer &amp; Schroeder, 1975). PostgreSQL implementa nativamente Row Level Security (RLS), un mecanismo que evalúa cláusulas de acceso a nivel de tupla en cada sentencia SQL ejecutada. Las políticas RLS diferencian formalmente dos directivas:</w:t>
      </w:r>
    </w:p>
    <w:p>
      <w:pPr>
        <w:spacing w:after="80" w:line="276" w:lineRule="auto"/>
        <w:ind w:left="432"/>
        <w:jc w:val="both"/>
      </w:pPr>
      <w:r>
        <w:rPr>
          <w:rFonts w:ascii="Times New Roman" w:hAnsi="Times New Roman"/>
          <w:b/>
          <w:color w:val="1A366E"/>
        </w:rPr>
        <w:t xml:space="preserve">• </w:t>
      </w:r>
      <w:r>
        <w:rPr>
          <w:rFonts w:ascii="Times New Roman" w:hAnsi="Times New Roman"/>
          <w:sz w:val="23"/>
        </w:rPr>
        <w:t>USING: Condición de filtrado que evalúa las filas existentes al ejecutar SELECT, UPDATE o DELETE. Si la expresión 'auth.uid() = user_id' no se cumple, el motor PostgreSQL trata el registro como inexistente, respondiendo 0 filas.</w:t>
      </w:r>
    </w:p>
    <w:p>
      <w:pPr>
        <w:spacing w:after="80" w:line="276" w:lineRule="auto"/>
        <w:ind w:left="432"/>
        <w:jc w:val="both"/>
      </w:pPr>
      <w:r>
        <w:rPr>
          <w:rFonts w:ascii="Times New Roman" w:hAnsi="Times New Roman"/>
          <w:b/>
          <w:color w:val="1A366E"/>
        </w:rPr>
        <w:t xml:space="preserve">• </w:t>
      </w:r>
      <w:r>
        <w:rPr>
          <w:rFonts w:ascii="Times New Roman" w:hAnsi="Times New Roman"/>
          <w:sz w:val="23"/>
        </w:rPr>
        <w:t>WITH CHECK: Condición de validación que inspecciona los datos nuevos o modificados antes de confirmar un INSERT o UPDATE, impidiendo que un usuario suplante a otro asignándole un UID ajeno.</w:t>
      </w:r>
    </w:p>
    <w:p>
      <w:pPr>
        <w:keepNext/>
        <w:spacing w:before="200" w:after="60"/>
        <w:jc w:val="left"/>
      </w:pPr>
      <w:r>
        <w:rPr>
          <w:rFonts w:ascii="Times New Roman" w:hAnsi="Times New Roman"/>
          <w:b/>
          <w:color w:val="0F172A"/>
          <w:sz w:val="25"/>
        </w:rPr>
        <w:t>2.5. Especificación del Contrato OpenAPI 3.0.3 y Swagger UI</w:t>
      </w:r>
    </w:p>
    <w:p>
      <w:pPr>
        <w:spacing w:after="120" w:line="288" w:lineRule="auto"/>
        <w:jc w:val="both"/>
      </w:pPr>
      <w:r>
        <w:rPr>
          <w:rFonts w:ascii="Times New Roman" w:hAnsi="Times New Roman"/>
          <w:b w:val="0"/>
          <w:i w:val="0"/>
          <w:sz w:val="24"/>
        </w:rPr>
        <w:t>OpenAPI 3.0.3 define una descripción agnóstica y formal para servicios web RESTful. Mediante las bibliotecas Flask-Smorest y Marshmallow, la API autogenera su especificación OpenAPI en formato JSON y monta una interfaz gráfica interactiva en '/docs' (Swagger UI). Esto permite que el equipo de frontend explore el catálogo de servicios, pruebe peticiones autenticadas mediante el botón 'Authorize' y verifique esquemas de respuesta sin depender de software externo como Postman.</w:t>
      </w:r>
    </w:p>
    <w:p>
      <w:pPr>
        <w:keepNext/>
        <w:spacing w:before="200" w:after="60"/>
        <w:jc w:val="left"/>
      </w:pPr>
      <w:r>
        <w:rPr>
          <w:rFonts w:ascii="Times New Roman" w:hAnsi="Times New Roman"/>
          <w:b/>
          <w:color w:val="0F172A"/>
          <w:sz w:val="25"/>
        </w:rPr>
        <w:t>2.6. Marco Normativo Boliviano: Soberanía Tecnológica y Software Libre</w:t>
      </w:r>
    </w:p>
    <w:p>
      <w:pPr>
        <w:spacing w:after="120" w:line="288" w:lineRule="auto"/>
        <w:jc w:val="both"/>
      </w:pPr>
      <w:r>
        <w:rPr>
          <w:rFonts w:ascii="Times New Roman" w:hAnsi="Times New Roman"/>
          <w:b w:val="0"/>
          <w:i w:val="0"/>
          <w:sz w:val="24"/>
        </w:rPr>
        <w:t>La Ley General de Telecomunicaciones, Tecnologías de Información y Comunicación (Ley 164) y el Decreto Supremo 1793 establecen como mandato de Estado la soberanía tecnológica y la priorización de herramientas de software libre en proyectos de impacto social en Bolivia (AGETIC, 2022). La elección de un stack basado en Python, Flask, PostgreSQL y Render satisface plenamente este principio, garantizando un costo operativo de 0 Bs que asegura la viabilidad permanente del sistema ferial.</w:t>
      </w:r>
    </w:p>
    <w:p>
      <w:pPr>
        <w:keepNext/>
        <w:spacing w:before="280" w:after="80"/>
        <w:jc w:val="left"/>
      </w:pPr>
      <w:r>
        <w:rPr>
          <w:rFonts w:ascii="Times New Roman" w:hAnsi="Times New Roman"/>
          <w:b/>
          <w:color w:val="1A366E"/>
          <w:sz w:val="28"/>
        </w:rPr>
        <w:t>3. Metodología de Trabajo y Roles en el Pod de Ingeniería</w:t>
      </w:r>
    </w:p>
    <w:p>
      <w:pPr>
        <w:spacing w:after="120" w:line="288" w:lineRule="auto"/>
        <w:jc w:val="both"/>
      </w:pPr>
      <w:r>
        <w:rPr>
          <w:rFonts w:ascii="Times New Roman" w:hAnsi="Times New Roman"/>
          <w:b w:val="0"/>
          <w:i w:val="0"/>
          <w:sz w:val="24"/>
        </w:rPr>
        <w:t>La ejecución técnica de la Actividad 03 se llevó a cabo mediante la técnica de Mob Construction en las sesiones del Bloque III de la asignatura. El pod de ingeniería estructuró sus responsabilidades bajo el siguiente esquema de trabajo colaborativo:</w:t>
      </w:r>
    </w:p>
    <w:p>
      <w:pPr>
        <w:spacing w:after="80" w:line="276" w:lineRule="auto"/>
        <w:ind w:left="432"/>
        <w:jc w:val="both"/>
      </w:pPr>
      <w:r>
        <w:rPr>
          <w:rFonts w:ascii="Times New Roman" w:hAnsi="Times New Roman"/>
          <w:b/>
          <w:color w:val="1A366E"/>
        </w:rPr>
        <w:t xml:space="preserve">• </w:t>
      </w:r>
      <w:r>
        <w:rPr>
          <w:rFonts w:ascii="Times New Roman" w:hAnsi="Times New Roman"/>
          <w:sz w:val="23"/>
        </w:rPr>
        <w:t>Eduar Heredia Chávez: Líder de Dominio y Negocio, Arquitecto de Datos y Frontend. Responsable de garantizar la correspondencia entre los modelos de la base de datos (PostgreSQL), los esquemas de datos Marshmallow y los requerimientos funcionales territoriales de la EcoFeria Santa Cruz.</w:t>
      </w:r>
    </w:p>
    <w:p>
      <w:pPr>
        <w:spacing w:after="80" w:line="276" w:lineRule="auto"/>
        <w:ind w:left="432"/>
        <w:jc w:val="both"/>
      </w:pPr>
      <w:r>
        <w:rPr>
          <w:rFonts w:ascii="Times New Roman" w:hAnsi="Times New Roman"/>
          <w:b/>
          <w:color w:val="1A366E"/>
        </w:rPr>
        <w:t xml:space="preserve">• </w:t>
      </w:r>
      <w:r>
        <w:rPr>
          <w:rFonts w:ascii="Times New Roman" w:hAnsi="Times New Roman"/>
          <w:sz w:val="23"/>
        </w:rPr>
        <w:t>Limbert David Quispe Osco: Auditor de Backend, Ciberseguridad OWASP y Presupuesto Web. Responsable de la auditoría del decorador criptográfico JWT, la validación de políticas RLS en Supabase, la verificación del checklist OWASP API Security Top 10 y la ejecución de la suite de pruebas Pytest.</w:t>
      </w:r>
    </w:p>
    <w:p>
      <w:pPr>
        <w:spacing w:after="80" w:line="276" w:lineRule="auto"/>
        <w:ind w:left="432"/>
        <w:jc w:val="both"/>
      </w:pPr>
      <w:r>
        <w:rPr>
          <w:rFonts w:ascii="Times New Roman" w:hAnsi="Times New Roman"/>
          <w:b/>
          <w:color w:val="1A366E"/>
        </w:rPr>
        <w:t xml:space="preserve">• </w:t>
      </w:r>
      <w:r>
        <w:rPr>
          <w:rFonts w:ascii="Times New Roman" w:hAnsi="Times New Roman"/>
          <w:sz w:val="23"/>
        </w:rPr>
        <w:t>Antigravity AI (Copiloto AI-DLC): Agente inteligente de asistencia en tiempo de diseño y codificación. Actuó como revisor de contratos de API, propuso estructuras de Blueprints, generó borradores de scripts DDL con políticas RLS y formuló baterías de pruebas automatizadas, las cuales fueron rigurosamente analizadas, modificadas y aprobadas por los ingenieros humanos.</w:t>
      </w:r>
    </w:p>
    <w:p>
      <w:pPr>
        <w:keepNext/>
        <w:spacing w:before="280" w:after="80"/>
        <w:jc w:val="left"/>
      </w:pPr>
      <w:r>
        <w:rPr>
          <w:rFonts w:ascii="Times New Roman" w:hAnsi="Times New Roman"/>
          <w:b/>
          <w:color w:val="1A366E"/>
          <w:sz w:val="28"/>
        </w:rPr>
        <w:t>4. Resultados e Implementación Técnica de la API REST</w:t>
      </w:r>
    </w:p>
    <w:p>
      <w:pPr>
        <w:keepNext/>
        <w:spacing w:before="200" w:after="60"/>
        <w:jc w:val="left"/>
      </w:pPr>
      <w:r>
        <w:rPr>
          <w:rFonts w:ascii="Times New Roman" w:hAnsi="Times New Roman"/>
          <w:b/>
          <w:color w:val="0F172A"/>
          <w:sz w:val="25"/>
        </w:rPr>
        <w:t>4.1. Arquitectura Backend Modular y Blueprints Desacoplados</w:t>
      </w:r>
    </w:p>
    <w:p>
      <w:pPr>
        <w:spacing w:after="120" w:line="288" w:lineRule="auto"/>
        <w:jc w:val="both"/>
      </w:pPr>
      <w:r>
        <w:rPr>
          <w:rFonts w:ascii="Times New Roman" w:hAnsi="Times New Roman"/>
          <w:b w:val="0"/>
          <w:i w:val="0"/>
          <w:sz w:val="24"/>
        </w:rPr>
        <w:t>La API RESTful reside en el directorio 'backend/' y sigue una estructura modular orientada a servicios, desacoplada mediante cuatro Blueprints registrados en la fábrica central 'backend/app/__init__.py':</w:t>
      </w:r>
    </w:p>
    <w:p>
      <w:pPr>
        <w:spacing w:after="40" w:line="288" w:lineRule="auto"/>
        <w:jc w:val="both"/>
      </w:pPr>
      <w:r>
        <w:rPr>
          <w:rFonts w:ascii="Times New Roman" w:hAnsi="Times New Roman"/>
          <w:b/>
          <w:i w:val="0"/>
          <w:sz w:val="22"/>
        </w:rPr>
        <w:t>Tabla 1</w:t>
      </w:r>
    </w:p>
    <w:p>
      <w:pPr>
        <w:spacing w:after="120" w:line="288" w:lineRule="auto"/>
        <w:jc w:val="both"/>
      </w:pPr>
      <w:r>
        <w:rPr>
          <w:rFonts w:ascii="Times New Roman" w:hAnsi="Times New Roman"/>
          <w:b w:val="0"/>
          <w:i/>
          <w:sz w:val="22"/>
        </w:rPr>
        <w:t>Estructura de Blueprints y Módulos de la API REST</w:t>
      </w:r>
    </w:p>
    <w:tbl>
      <w:tblPr>
        <w:tblW w:type="auto" w:w="0"/>
        <w:jc w:val="center"/>
        <w:tblLook w:firstColumn="1" w:firstRow="1" w:lastColumn="0" w:lastRow="0" w:noHBand="0" w:noVBand="1" w:val="04A0"/>
        <w:tblBorders>
          <w:top w:val="single" w:sz="8" w:space="0" w:color="333333"/>
          <w:bottom w:val="single" w:sz="8" w:space="0" w:color="333333"/>
          <w:insideH w:val="single" w:sz="4" w:space="0" w:color="CCCCCC"/>
          <w:insideV w:val="none"/>
          <w:left w:val="none"/>
          <w:right w:val="none"/>
        </w:tblBorders>
      </w:tblPr>
      <w:tblGrid>
        <w:gridCol w:w="3120"/>
        <w:gridCol w:w="3120"/>
        <w:gridCol w:w="3120"/>
      </w:tblGrid>
      <w:tr>
        <w:tc>
          <w:tcPr>
            <w:tcW w:type="dxa" w:w="3120"/>
            <w:tcMar>
              <w:top w:w="80" w:type="dxa"/>
              <w:bottom w:w="80" w:type="dxa"/>
              <w:left w:w="120" w:type="dxa"/>
              <w:right w:w="120" w:type="dxa"/>
            </w:tcMar>
            <w:shd w:fill="F1F5F9"/>
          </w:tcPr>
          <w:p>
            <w:pPr>
              <w:spacing w:after="40"/>
            </w:pPr>
            <w:r>
              <w:rPr>
                <w:rFonts w:ascii="Times New Roman" w:hAnsi="Times New Roman"/>
                <w:b/>
                <w:sz w:val="20"/>
              </w:rPr>
              <w:t>Blueprint</w:t>
            </w:r>
          </w:p>
        </w:tc>
        <w:tc>
          <w:tcPr>
            <w:tcW w:type="dxa" w:w="3120"/>
            <w:tcMar>
              <w:top w:w="80" w:type="dxa"/>
              <w:bottom w:w="80" w:type="dxa"/>
              <w:left w:w="120" w:type="dxa"/>
              <w:right w:w="120" w:type="dxa"/>
            </w:tcMar>
            <w:shd w:fill="F1F5F9"/>
          </w:tcPr>
          <w:p>
            <w:pPr>
              <w:spacing w:after="40"/>
            </w:pPr>
            <w:r>
              <w:rPr>
                <w:rFonts w:ascii="Times New Roman" w:hAnsi="Times New Roman"/>
                <w:b/>
                <w:sz w:val="20"/>
              </w:rPr>
              <w:t>Prefijo URL</w:t>
            </w:r>
          </w:p>
        </w:tc>
        <w:tc>
          <w:tcPr>
            <w:tcW w:type="dxa" w:w="3120"/>
            <w:tcMar>
              <w:top w:w="80" w:type="dxa"/>
              <w:bottom w:w="80" w:type="dxa"/>
              <w:left w:w="120" w:type="dxa"/>
              <w:right w:w="120" w:type="dxa"/>
            </w:tcMar>
            <w:shd w:fill="F1F5F9"/>
          </w:tcPr>
          <w:p>
            <w:pPr>
              <w:spacing w:after="40"/>
            </w:pPr>
            <w:r>
              <w:rPr>
                <w:rFonts w:ascii="Times New Roman" w:hAnsi="Times New Roman"/>
                <w:b/>
                <w:sz w:val="20"/>
              </w:rPr>
              <w:t>Descripción y Responsabilidad de Dominio</w:t>
            </w:r>
          </w:p>
        </w:tc>
      </w:tr>
      <w:tr>
        <w:tc>
          <w:tcPr>
            <w:tcW w:type="dxa" w:w="3120"/>
            <w:tcMar>
              <w:top w:w="80" w:type="dxa"/>
              <w:bottom w:w="80" w:type="dxa"/>
              <w:left w:w="120" w:type="dxa"/>
              <w:right w:w="120" w:type="dxa"/>
            </w:tcMar>
          </w:tcPr>
          <w:p>
            <w:pPr>
              <w:spacing w:after="40"/>
            </w:pPr>
            <w:r>
              <w:rPr>
                <w:rFonts w:ascii="Times New Roman" w:hAnsi="Times New Roman"/>
                <w:sz w:val="20"/>
              </w:rPr>
              <w:t>salud_bp</w:t>
            </w:r>
          </w:p>
        </w:tc>
        <w:tc>
          <w:tcPr>
            <w:tcW w:type="dxa" w:w="3120"/>
            <w:tcMar>
              <w:top w:w="80" w:type="dxa"/>
              <w:bottom w:w="80" w:type="dxa"/>
              <w:left w:w="120" w:type="dxa"/>
              <w:right w:w="120" w:type="dxa"/>
            </w:tcMar>
          </w:tcPr>
          <w:p>
            <w:pPr>
              <w:spacing w:after="40"/>
            </w:pPr>
            <w:r>
              <w:rPr>
                <w:rFonts w:ascii="Times New Roman" w:hAnsi="Times New Roman"/>
                <w:sz w:val="20"/>
              </w:rPr>
              <w:t>/api/salud</w:t>
            </w:r>
          </w:p>
        </w:tc>
        <w:tc>
          <w:tcPr>
            <w:tcW w:type="dxa" w:w="3120"/>
            <w:tcMar>
              <w:top w:w="80" w:type="dxa"/>
              <w:bottom w:w="80" w:type="dxa"/>
              <w:left w:w="120" w:type="dxa"/>
              <w:right w:w="120" w:type="dxa"/>
            </w:tcMar>
          </w:tcPr>
          <w:p>
            <w:pPr>
              <w:spacing w:after="40"/>
            </w:pPr>
            <w:r>
              <w:rPr>
                <w:rFonts w:ascii="Times New Roman" w:hAnsi="Times New Roman"/>
                <w:sz w:val="20"/>
              </w:rPr>
              <w:t>Health check y monitoreo del estado operativo del servidor y base de datos.</w:t>
            </w:r>
          </w:p>
        </w:tc>
      </w:tr>
      <w:tr>
        <w:tc>
          <w:tcPr>
            <w:tcW w:type="dxa" w:w="3120"/>
            <w:tcMar>
              <w:top w:w="80" w:type="dxa"/>
              <w:bottom w:w="80" w:type="dxa"/>
              <w:left w:w="120" w:type="dxa"/>
              <w:right w:w="120" w:type="dxa"/>
            </w:tcMar>
          </w:tcPr>
          <w:p>
            <w:pPr>
              <w:spacing w:after="40"/>
            </w:pPr>
            <w:r>
              <w:rPr>
                <w:rFonts w:ascii="Times New Roman" w:hAnsi="Times New Roman"/>
                <w:sz w:val="20"/>
              </w:rPr>
              <w:t>auth_bp</w:t>
            </w:r>
          </w:p>
        </w:tc>
        <w:tc>
          <w:tcPr>
            <w:tcW w:type="dxa" w:w="3120"/>
            <w:tcMar>
              <w:top w:w="80" w:type="dxa"/>
              <w:bottom w:w="80" w:type="dxa"/>
              <w:left w:w="120" w:type="dxa"/>
              <w:right w:w="120" w:type="dxa"/>
            </w:tcMar>
          </w:tcPr>
          <w:p>
            <w:pPr>
              <w:spacing w:after="40"/>
            </w:pPr>
            <w:r>
              <w:rPr>
                <w:rFonts w:ascii="Times New Roman" w:hAnsi="Times New Roman"/>
                <w:sz w:val="20"/>
              </w:rPr>
              <w:t>/api/auth</w:t>
            </w:r>
          </w:p>
        </w:tc>
        <w:tc>
          <w:tcPr>
            <w:tcW w:type="dxa" w:w="3120"/>
            <w:tcMar>
              <w:top w:w="80" w:type="dxa"/>
              <w:bottom w:w="80" w:type="dxa"/>
              <w:left w:w="120" w:type="dxa"/>
              <w:right w:w="120" w:type="dxa"/>
            </w:tcMar>
          </w:tcPr>
          <w:p>
            <w:pPr>
              <w:spacing w:after="40"/>
            </w:pPr>
            <w:r>
              <w:rPr>
                <w:rFonts w:ascii="Times New Roman" w:hAnsi="Times New Roman"/>
                <w:sz w:val="20"/>
              </w:rPr>
              <w:t>Gestión de ciclo de vida de usuarios: registro, login y rotación de tokens JWT.</w:t>
            </w:r>
          </w:p>
        </w:tc>
      </w:tr>
      <w:tr>
        <w:tc>
          <w:tcPr>
            <w:tcW w:type="dxa" w:w="3120"/>
            <w:tcMar>
              <w:top w:w="80" w:type="dxa"/>
              <w:bottom w:w="80" w:type="dxa"/>
              <w:left w:w="120" w:type="dxa"/>
              <w:right w:w="120" w:type="dxa"/>
            </w:tcMar>
          </w:tcPr>
          <w:p>
            <w:pPr>
              <w:spacing w:after="40"/>
            </w:pPr>
            <w:r>
              <w:rPr>
                <w:rFonts w:ascii="Times New Roman" w:hAnsi="Times New Roman"/>
                <w:sz w:val="20"/>
              </w:rPr>
              <w:t>tareas_bp</w:t>
            </w:r>
          </w:p>
        </w:tc>
        <w:tc>
          <w:tcPr>
            <w:tcW w:type="dxa" w:w="3120"/>
            <w:tcMar>
              <w:top w:w="80" w:type="dxa"/>
              <w:bottom w:w="80" w:type="dxa"/>
              <w:left w:w="120" w:type="dxa"/>
              <w:right w:w="120" w:type="dxa"/>
            </w:tcMar>
          </w:tcPr>
          <w:p>
            <w:pPr>
              <w:spacing w:after="40"/>
            </w:pPr>
            <w:r>
              <w:rPr>
                <w:rFonts w:ascii="Times New Roman" w:hAnsi="Times New Roman"/>
                <w:sz w:val="20"/>
              </w:rPr>
              <w:t>/api/tareas</w:t>
            </w:r>
          </w:p>
        </w:tc>
        <w:tc>
          <w:tcPr>
            <w:tcW w:type="dxa" w:w="3120"/>
            <w:tcMar>
              <w:top w:w="80" w:type="dxa"/>
              <w:bottom w:w="80" w:type="dxa"/>
              <w:left w:w="120" w:type="dxa"/>
              <w:right w:w="120" w:type="dxa"/>
            </w:tcMar>
          </w:tcPr>
          <w:p>
            <w:pPr>
              <w:spacing w:after="40"/>
            </w:pPr>
            <w:r>
              <w:rPr>
                <w:rFonts w:ascii="Times New Roman" w:hAnsi="Times New Roman"/>
                <w:sz w:val="20"/>
              </w:rPr>
              <w:t>Laboratorio de cátedra: CRUD completo con control multi-inquilino (Ana vs. Beto).</w:t>
            </w:r>
          </w:p>
        </w:tc>
      </w:tr>
      <w:tr>
        <w:tc>
          <w:tcPr>
            <w:tcW w:type="dxa" w:w="3120"/>
            <w:tcMar>
              <w:top w:w="80" w:type="dxa"/>
              <w:bottom w:w="80" w:type="dxa"/>
              <w:left w:w="120" w:type="dxa"/>
              <w:right w:w="120" w:type="dxa"/>
            </w:tcMar>
          </w:tcPr>
          <w:p>
            <w:pPr>
              <w:spacing w:after="40"/>
            </w:pPr>
            <w:r>
              <w:rPr>
                <w:rFonts w:ascii="Times New Roman" w:hAnsi="Times New Roman"/>
                <w:sz w:val="20"/>
              </w:rPr>
              <w:t>ecoforia_bp</w:t>
            </w:r>
          </w:p>
        </w:tc>
        <w:tc>
          <w:tcPr>
            <w:tcW w:type="dxa" w:w="3120"/>
            <w:tcMar>
              <w:top w:w="80" w:type="dxa"/>
              <w:bottom w:w="80" w:type="dxa"/>
              <w:left w:w="120" w:type="dxa"/>
              <w:right w:w="120" w:type="dxa"/>
            </w:tcMar>
          </w:tcPr>
          <w:p>
            <w:pPr>
              <w:spacing w:after="40"/>
            </w:pPr>
            <w:r>
              <w:rPr>
                <w:rFonts w:ascii="Times New Roman" w:hAnsi="Times New Roman"/>
                <w:sz w:val="20"/>
              </w:rPr>
              <w:t>/api/productos</w:t>
              <w:br/>
              <w:t>/api/pedidos</w:t>
            </w:r>
          </w:p>
        </w:tc>
        <w:tc>
          <w:tcPr>
            <w:tcW w:type="dxa" w:w="3120"/>
            <w:tcMar>
              <w:top w:w="80" w:type="dxa"/>
              <w:bottom w:w="80" w:type="dxa"/>
              <w:left w:w="120" w:type="dxa"/>
              <w:right w:w="120" w:type="dxa"/>
            </w:tcMar>
          </w:tcPr>
          <w:p>
            <w:pPr>
              <w:spacing w:after="40"/>
            </w:pPr>
            <w:r>
              <w:rPr>
                <w:rFonts w:ascii="Times New Roman" w:hAnsi="Times New Roman"/>
                <w:sz w:val="20"/>
              </w:rPr>
              <w:t>Módulo socioformativo: catálogo de cosechas (CU-01), reservas (CU-02), gestión de cosecha (CU-03) y despacho ferial (CU-04).</w:t>
            </w:r>
          </w:p>
        </w:tc>
      </w:tr>
    </w:tbl>
    <w:p>
      <w:pPr>
        <w:spacing w:after="240" w:line="288" w:lineRule="auto"/>
        <w:jc w:val="both"/>
      </w:pPr>
      <w:r>
        <w:rPr>
          <w:rFonts w:ascii="Times New Roman" w:hAnsi="Times New Roman"/>
          <w:b w:val="0"/>
          <w:i/>
          <w:sz w:val="19"/>
        </w:rPr>
        <w:t>Nota. Arquitectura modular construida con Flask 3.0.3 y Flask-Smorest 0.47.0.</w:t>
      </w:r>
    </w:p>
    <w:p>
      <w:pPr>
        <w:keepNext/>
        <w:spacing w:before="200" w:after="60"/>
        <w:jc w:val="left"/>
      </w:pPr>
      <w:r>
        <w:rPr>
          <w:rFonts w:ascii="Times New Roman" w:hAnsi="Times New Roman"/>
          <w:b/>
          <w:color w:val="0F172A"/>
          <w:sz w:val="25"/>
        </w:rPr>
        <w:t>4.2. Modelo Relacional y Políticas Row Level Security (RLS)</w:t>
      </w:r>
    </w:p>
    <w:p>
      <w:pPr>
        <w:spacing w:after="120" w:line="288" w:lineRule="auto"/>
        <w:jc w:val="both"/>
      </w:pPr>
      <w:r>
        <w:rPr>
          <w:rFonts w:ascii="Times New Roman" w:hAnsi="Times New Roman"/>
          <w:b w:val="0"/>
          <w:i w:val="0"/>
          <w:sz w:val="24"/>
        </w:rPr>
        <w:t>El script DDL 'backend/sql/01_schema_rls.sql' implementa la estructura de base de datos en Supabase/PostgreSQL. Para blindar el sistema contra fugas de datos y accesos no autorizados (OWASP API1: BOLA), se habilitó RLS en la totalidad de las tablas y se crearon políticas basadas en el UUID del usuario autenticado ('auth.uid() = user_id'):</w:t>
      </w:r>
    </w:p>
    <w:p>
      <w:pPr>
        <w:spacing w:after="80" w:line="276" w:lineRule="auto"/>
        <w:ind w:left="432"/>
        <w:jc w:val="both"/>
      </w:pPr>
      <w:r>
        <w:rPr>
          <w:rFonts w:ascii="Times New Roman" w:hAnsi="Times New Roman"/>
          <w:b/>
          <w:color w:val="1A366E"/>
        </w:rPr>
        <w:t xml:space="preserve">• </w:t>
      </w:r>
      <w:r>
        <w:rPr>
          <w:rFonts w:ascii="Times New Roman" w:hAnsi="Times New Roman"/>
          <w:sz w:val="23"/>
        </w:rPr>
        <w:t>Tabla 'tareas' (Laboratorio de Cátedra): Políticas específicas para SELECT, INSERT, UPDATE y DELETE. Beto no puede leer ni mutar las tareas de Ana; al intentarlo, PostgreSQL devuelve 0 filas y la API responde con código estándar 404 Not Found.</w:t>
      </w:r>
    </w:p>
    <w:p>
      <w:pPr>
        <w:spacing w:after="80" w:line="276" w:lineRule="auto"/>
        <w:ind w:left="432"/>
        <w:jc w:val="both"/>
      </w:pPr>
      <w:r>
        <w:rPr>
          <w:rFonts w:ascii="Times New Roman" w:hAnsi="Times New Roman"/>
          <w:b/>
          <w:color w:val="1A366E"/>
        </w:rPr>
        <w:t xml:space="preserve">• </w:t>
      </w:r>
      <w:r>
        <w:rPr>
          <w:rFonts w:ascii="Times New Roman" w:hAnsi="Times New Roman"/>
          <w:sz w:val="23"/>
        </w:rPr>
        <w:t>Tabla 'productos' (EcoFeria CU-01 y CU-03): Lectura pública para usuarios anónimos ('USING (activo = TRUE)') para permitir la visualización del catálogo ferial; y mutación exclusiva para el productor titular de la cosecha mediante verificación relacional ('EXISTS (SELECT 1 FROM productores p WHERE p.id = productos.productor_id AND p.user_id = auth.uid())').</w:t>
      </w:r>
    </w:p>
    <w:p>
      <w:pPr>
        <w:spacing w:after="80" w:line="276" w:lineRule="auto"/>
        <w:ind w:left="432"/>
        <w:jc w:val="both"/>
      </w:pPr>
      <w:r>
        <w:rPr>
          <w:rFonts w:ascii="Times New Roman" w:hAnsi="Times New Roman"/>
          <w:b/>
          <w:color w:val="1A366E"/>
        </w:rPr>
        <w:t xml:space="preserve">• </w:t>
      </w:r>
      <w:r>
        <w:rPr>
          <w:rFonts w:ascii="Times New Roman" w:hAnsi="Times New Roman"/>
          <w:sz w:val="23"/>
        </w:rPr>
        <w:t>Tabla 'pedidos' y 'detalle_pedidos' (EcoFeria CU-02 y CU-04): Inserción pública para que los clientes urbanos puedan registrar pedidos desde la canasta virtual sin necesidad de cuenta previa; y consulta protegida por código unívoco de reserva ('ECO-XXXX').</w:t>
      </w:r>
    </w:p>
    <w:p>
      <w:pPr>
        <w:keepNext/>
        <w:spacing w:before="200" w:after="60"/>
        <w:jc w:val="left"/>
      </w:pPr>
      <w:r>
        <w:rPr>
          <w:rFonts w:ascii="Times New Roman" w:hAnsi="Times New Roman"/>
          <w:b/>
          <w:color w:val="0F172A"/>
          <w:sz w:val="25"/>
        </w:rPr>
        <w:t>4.3. Evidencia Gráfica de Implementación en Supabase</w:t>
      </w:r>
    </w:p>
    <w:p>
      <w:pPr>
        <w:spacing w:after="120" w:line="288" w:lineRule="auto"/>
        <w:jc w:val="both"/>
      </w:pPr>
      <w:r>
        <w:rPr>
          <w:rFonts w:ascii="Times New Roman" w:hAnsi="Times New Roman"/>
          <w:b w:val="0"/>
          <w:i w:val="0"/>
          <w:sz w:val="24"/>
        </w:rPr>
        <w:t>A continuación se presenta la evidencia gráfica del panel de administración de Supabase (Table Editor), donde se certifica que las cinco tablas de la arquitectura poseen el badge verde 'RLS ENABLED', confirmando que el motor PostgreSQL aplica activamente el aislamiento a nivel de tupla:</w:t>
      </w:r>
    </w:p>
    <w:p>
      <w:pPr>
        <w:spacing w:after="40" w:line="288" w:lineRule="auto"/>
        <w:jc w:val="both"/>
      </w:pPr>
      <w:r>
        <w:rPr>
          <w:rFonts w:ascii="Times New Roman" w:hAnsi="Times New Roman"/>
          <w:b/>
          <w:i w:val="0"/>
          <w:sz w:val="22"/>
        </w:rPr>
        <w:t>Figura 1</w:t>
      </w:r>
    </w:p>
    <w:p>
      <w:pPr>
        <w:spacing w:after="120" w:line="288" w:lineRule="auto"/>
        <w:jc w:val="both"/>
      </w:pPr>
      <w:r>
        <w:rPr>
          <w:rFonts w:ascii="Times New Roman" w:hAnsi="Times New Roman"/>
          <w:b w:val="0"/>
          <w:i/>
          <w:sz w:val="22"/>
        </w:rPr>
        <w:t>Panel Table Editor de Supabase Certificando RLS Habilitado en Todas las Tablas</w:t>
      </w:r>
    </w:p>
    <w:p>
      <w:pPr>
        <w:spacing w:before="80" w:after="80"/>
        <w:jc w:val="center"/>
      </w:pPr>
      <w:r>
        <w:drawing>
          <wp:inline xmlns:a="http://schemas.openxmlformats.org/drawingml/2006/main" xmlns:pic="http://schemas.openxmlformats.org/drawingml/2006/picture">
            <wp:extent cx="5486400" cy="3234170"/>
            <wp:docPr id="2" name="Picture 2"/>
            <wp:cNvGraphicFramePr>
              <a:graphicFrameLocks noChangeAspect="1"/>
            </wp:cNvGraphicFramePr>
            <a:graphic>
              <a:graphicData uri="http://schemas.openxmlformats.org/drawingml/2006/picture">
                <pic:pic>
                  <pic:nvPicPr>
                    <pic:cNvPr id="0" name="RSL de las TablasSql.png"/>
                    <pic:cNvPicPr/>
                  </pic:nvPicPr>
                  <pic:blipFill>
                    <a:blip r:embed="rId12"/>
                    <a:stretch>
                      <a:fillRect/>
                    </a:stretch>
                  </pic:blipFill>
                  <pic:spPr>
                    <a:xfrm>
                      <a:off x="0" y="0"/>
                      <a:ext cx="5486400" cy="3234170"/>
                    </a:xfrm>
                    <a:prstGeom prst="rect"/>
                  </pic:spPr>
                </pic:pic>
              </a:graphicData>
            </a:graphic>
          </wp:inline>
        </w:drawing>
      </w:r>
    </w:p>
    <w:p>
      <w:pPr>
        <w:spacing w:after="280" w:line="288" w:lineRule="auto"/>
        <w:jc w:val="both"/>
      </w:pPr>
      <w:r>
        <w:rPr>
          <w:rFonts w:ascii="Times New Roman" w:hAnsi="Times New Roman"/>
          <w:b w:val="0"/>
          <w:i/>
          <w:sz w:val="19"/>
        </w:rPr>
        <w:t>Nota. Captura tomada directamente del proyecto en vivo en Supabase (https://aejwjvawgluiapxtywkl.supabase.co). Se observa el indicador verde 'RLS ENABLED' en las tablas tareas, productores, productos, pedidos y detalle_pedidos.</w:t>
      </w:r>
    </w:p>
    <w:p>
      <w:pPr>
        <w:keepNext/>
        <w:spacing w:before="200" w:after="60"/>
        <w:jc w:val="left"/>
      </w:pPr>
      <w:r>
        <w:rPr>
          <w:rFonts w:ascii="Times New Roman" w:hAnsi="Times New Roman"/>
          <w:b/>
          <w:color w:val="0F172A"/>
          <w:sz w:val="25"/>
        </w:rPr>
        <w:t>4.4. Protocolo Criptográfico JWT y Estrategia de Dos Tokens</w:t>
      </w:r>
    </w:p>
    <w:p>
      <w:pPr>
        <w:spacing w:after="120" w:line="288" w:lineRule="auto"/>
        <w:jc w:val="both"/>
      </w:pPr>
      <w:r>
        <w:rPr>
          <w:rFonts w:ascii="Times New Roman" w:hAnsi="Times New Roman"/>
          <w:b w:val="0"/>
          <w:i w:val="0"/>
          <w:sz w:val="24"/>
        </w:rPr>
        <w:t>El módulo 'backend/app/auth/jwt_utils.py' encapsula la generación y validación de tokens JWT mediante PyJWT 2.8.0 bajo el algoritmo HMAC-SHA256 (HS256). El decorador central '@token_required' ejecuta cinco comprobaciones criptográficas y de negocio rigurosas:</w:t>
      </w:r>
    </w:p>
    <w:p>
      <w:pPr>
        <w:spacing w:after="80" w:line="276" w:lineRule="auto"/>
        <w:ind w:left="432"/>
        <w:jc w:val="both"/>
      </w:pPr>
      <w:r>
        <w:rPr>
          <w:rFonts w:ascii="Times New Roman" w:hAnsi="Times New Roman"/>
          <w:b/>
          <w:color w:val="1A366E"/>
        </w:rPr>
        <w:t xml:space="preserve">• </w:t>
      </w:r>
      <w:r>
        <w:rPr>
          <w:rFonts w:ascii="Times New Roman" w:hAnsi="Times New Roman"/>
          <w:sz w:val="23"/>
        </w:rPr>
        <w:t>1. Formato y Esquema: Valida la presencia de la cabecera 'Authorization: Bearer &lt;token&gt;' y su descomposición canónica en 3 partes codificadas en Base64URL.</w:t>
      </w:r>
    </w:p>
    <w:p>
      <w:pPr>
        <w:spacing w:after="80" w:line="276" w:lineRule="auto"/>
        <w:ind w:left="432"/>
        <w:jc w:val="both"/>
      </w:pPr>
      <w:r>
        <w:rPr>
          <w:rFonts w:ascii="Times New Roman" w:hAnsi="Times New Roman"/>
          <w:b/>
          <w:color w:val="1A366E"/>
        </w:rPr>
        <w:t xml:space="preserve">• </w:t>
      </w:r>
      <w:r>
        <w:rPr>
          <w:rFonts w:ascii="Times New Roman" w:hAnsi="Times New Roman"/>
          <w:sz w:val="23"/>
        </w:rPr>
        <w:t>2. Integridad de Firma: Comprobación criptográfica matemática contra la clave secreta del servidor. Si un atacante altera un solo carácter del token en tránsito, PyJWT lanza 'InvalidSignatureError' y la API rechaza la petición con 401 Unauthorized ('La firma del token no es válida').</w:t>
      </w:r>
    </w:p>
    <w:p>
      <w:pPr>
        <w:spacing w:after="80" w:line="276" w:lineRule="auto"/>
        <w:ind w:left="432"/>
        <w:jc w:val="both"/>
      </w:pPr>
      <w:r>
        <w:rPr>
          <w:rFonts w:ascii="Times New Roman" w:hAnsi="Times New Roman"/>
          <w:b/>
          <w:color w:val="1A366E"/>
        </w:rPr>
        <w:t xml:space="preserve">• </w:t>
      </w:r>
      <w:r>
        <w:rPr>
          <w:rFonts w:ascii="Times New Roman" w:hAnsi="Times New Roman"/>
          <w:sz w:val="23"/>
        </w:rPr>
        <w:t>3. Expiración con Tolerancia (Leeway de 10s): Se verifica el claim 'exp'. Se introduce una tolerancia de reloj (leeway) de 10 segundos para absorber pequeñas desincronizaciones de tiempo entre servidores NTP distribuidos (Render y Supabase) sin desconectar injustamente al cliente.</w:t>
      </w:r>
    </w:p>
    <w:p>
      <w:pPr>
        <w:spacing w:after="80" w:line="276" w:lineRule="auto"/>
        <w:ind w:left="432"/>
        <w:jc w:val="both"/>
      </w:pPr>
      <w:r>
        <w:rPr>
          <w:rFonts w:ascii="Times New Roman" w:hAnsi="Times New Roman"/>
          <w:b/>
          <w:color w:val="1A366E"/>
        </w:rPr>
        <w:t xml:space="preserve">• </w:t>
      </w:r>
      <w:r>
        <w:rPr>
          <w:rFonts w:ascii="Times New Roman" w:hAnsi="Times New Roman"/>
          <w:sz w:val="23"/>
        </w:rPr>
        <w:t>4. Validación de Reclamos Estándar: Comprueba que el claim de audiencia ('aud') corresponda a 'authenticated' y que el emisor ('iss') sea legítimo.</w:t>
      </w:r>
    </w:p>
    <w:p>
      <w:pPr>
        <w:spacing w:after="80" w:line="276" w:lineRule="auto"/>
        <w:ind w:left="432"/>
        <w:jc w:val="both"/>
      </w:pPr>
      <w:r>
        <w:rPr>
          <w:rFonts w:ascii="Times New Roman" w:hAnsi="Times New Roman"/>
          <w:b/>
          <w:color w:val="1A366E"/>
        </w:rPr>
        <w:t xml:space="preserve">• </w:t>
      </w:r>
      <w:r>
        <w:rPr>
          <w:rFonts w:ascii="Times New Roman" w:hAnsi="Times New Roman"/>
          <w:sz w:val="23"/>
        </w:rPr>
        <w:t>5. Verificación de Tipo de Token: Exige 'token_use: access' para rutas protegidas, impidiendo que un Refresh Token sea utilizado indebidamente para autenticar operaciones ordinarias.</w:t>
      </w:r>
    </w:p>
    <w:p>
      <w:pPr>
        <w:keepNext/>
        <w:spacing w:before="200" w:after="60"/>
        <w:jc w:val="left"/>
      </w:pPr>
      <w:r>
        <w:rPr>
          <w:rFonts w:ascii="Times New Roman" w:hAnsi="Times New Roman"/>
          <w:b/>
          <w:color w:val="0F172A"/>
          <w:sz w:val="25"/>
        </w:rPr>
        <w:t>4.5. Especificación del Contrato OpenAPI 3.0.3 / Swagger UI</w:t>
      </w:r>
    </w:p>
    <w:p>
      <w:pPr>
        <w:spacing w:after="120" w:line="288" w:lineRule="auto"/>
        <w:jc w:val="both"/>
      </w:pPr>
      <w:r>
        <w:rPr>
          <w:rFonts w:ascii="Times New Roman" w:hAnsi="Times New Roman"/>
          <w:b w:val="0"/>
          <w:i w:val="0"/>
          <w:sz w:val="24"/>
        </w:rPr>
        <w:t>La interfaz interactiva de documentación reside en la ruta '/docs'. Utilizando la integración de Flask-Smorest, la API documenta la totalidad de sus métodos HTTP, descripciones operativas, esquemas de entrada y salida validados por Marshmallow, y posibles respuestas de error (400 Bad Request, 401 Unauthorized, 404 Not Found, 409 Conflict). Asimismo, incorpora el componente de seguridad global 'BearerAuth', permitiendo que cualquier evaluador autentique su sesión mediante el botón 'Authorize' y ejecute peticiones en vivo contra el servidor.</w:t>
      </w:r>
    </w:p>
    <w:p>
      <w:pPr>
        <w:keepNext/>
        <w:spacing w:before="200" w:after="60"/>
        <w:jc w:val="left"/>
      </w:pPr>
      <w:r>
        <w:rPr>
          <w:rFonts w:ascii="Times New Roman" w:hAnsi="Times New Roman"/>
          <w:b/>
          <w:color w:val="0F172A"/>
          <w:sz w:val="25"/>
        </w:rPr>
        <w:t>4.6. Auditoría de Ciberseguridad: Checklist OWASP API Security Top 10</w:t>
      </w:r>
    </w:p>
    <w:p>
      <w:pPr>
        <w:spacing w:after="120" w:line="288" w:lineRule="auto"/>
        <w:jc w:val="both"/>
      </w:pPr>
      <w:r>
        <w:rPr>
          <w:rFonts w:ascii="Times New Roman" w:hAnsi="Times New Roman"/>
          <w:b w:val="0"/>
          <w:i w:val="0"/>
          <w:sz w:val="24"/>
        </w:rPr>
        <w:t>Para garantizar que la API cumpla con los más altos estándares de la industria, se ejecutó una auditoría formal contrastando el código desarrollado contra el estándar internacional OWASP API Security Top 10 (2023):</w:t>
      </w:r>
    </w:p>
    <w:p>
      <w:pPr>
        <w:spacing w:after="40" w:line="288" w:lineRule="auto"/>
        <w:jc w:val="both"/>
      </w:pPr>
      <w:r>
        <w:rPr>
          <w:rFonts w:ascii="Times New Roman" w:hAnsi="Times New Roman"/>
          <w:b/>
          <w:i w:val="0"/>
          <w:sz w:val="22"/>
        </w:rPr>
        <w:t>Tabla 2</w:t>
      </w:r>
    </w:p>
    <w:p>
      <w:pPr>
        <w:spacing w:after="120" w:line="288" w:lineRule="auto"/>
        <w:jc w:val="both"/>
      </w:pPr>
      <w:r>
        <w:rPr>
          <w:rFonts w:ascii="Times New Roman" w:hAnsi="Times New Roman"/>
          <w:b w:val="0"/>
          <w:i/>
          <w:sz w:val="22"/>
        </w:rPr>
        <w:t>Checklist de Ciberseguridad OWASP API Security Top 10 y Mitigaciones</w:t>
      </w:r>
    </w:p>
    <w:tbl>
      <w:tblPr>
        <w:tblW w:type="auto" w:w="0"/>
        <w:jc w:val="center"/>
        <w:tblLook w:firstColumn="1" w:firstRow="1" w:lastColumn="0" w:lastRow="0" w:noHBand="0" w:noVBand="1" w:val="04A0"/>
        <w:tblBorders>
          <w:top w:val="single" w:sz="8" w:space="0" w:color="333333"/>
          <w:bottom w:val="single" w:sz="8" w:space="0" w:color="333333"/>
          <w:insideH w:val="single" w:sz="4" w:space="0" w:color="CCCCCC"/>
          <w:insideV w:val="none"/>
          <w:left w:val="none"/>
          <w:right w:val="none"/>
        </w:tblBorders>
      </w:tblPr>
      <w:tblGrid>
        <w:gridCol w:w="2340"/>
        <w:gridCol w:w="2340"/>
        <w:gridCol w:w="2340"/>
        <w:gridCol w:w="2340"/>
      </w:tblGrid>
      <w:tr>
        <w:tc>
          <w:tcPr>
            <w:tcW w:type="dxa" w:w="2340"/>
            <w:tcMar>
              <w:top w:w="70" w:type="dxa"/>
              <w:bottom w:w="70" w:type="dxa"/>
              <w:left w:w="100" w:type="dxa"/>
              <w:right w:w="100" w:type="dxa"/>
            </w:tcMar>
            <w:shd w:fill="F1F5F9"/>
          </w:tcPr>
          <w:p>
            <w:pPr>
              <w:spacing w:after="40"/>
            </w:pPr>
            <w:r>
              <w:rPr>
                <w:rFonts w:ascii="Times New Roman" w:hAnsi="Times New Roman"/>
                <w:b/>
                <w:sz w:val="19"/>
              </w:rPr>
              <w:t>Vulnerabilidad OWASP (2023)</w:t>
            </w:r>
          </w:p>
        </w:tc>
        <w:tc>
          <w:tcPr>
            <w:tcW w:type="dxa" w:w="2340"/>
            <w:tcMar>
              <w:top w:w="70" w:type="dxa"/>
              <w:bottom w:w="70" w:type="dxa"/>
              <w:left w:w="100" w:type="dxa"/>
              <w:right w:w="100" w:type="dxa"/>
            </w:tcMar>
            <w:shd w:fill="F1F5F9"/>
          </w:tcPr>
          <w:p>
            <w:pPr>
              <w:spacing w:after="40"/>
            </w:pPr>
            <w:r>
              <w:rPr>
                <w:rFonts w:ascii="Times New Roman" w:hAnsi="Times New Roman"/>
                <w:b/>
                <w:sz w:val="19"/>
              </w:rPr>
              <w:t>Amenaza en el Proyecto</w:t>
            </w:r>
          </w:p>
        </w:tc>
        <w:tc>
          <w:tcPr>
            <w:tcW w:type="dxa" w:w="2340"/>
            <w:tcMar>
              <w:top w:w="70" w:type="dxa"/>
              <w:bottom w:w="70" w:type="dxa"/>
              <w:left w:w="100" w:type="dxa"/>
              <w:right w:w="100" w:type="dxa"/>
            </w:tcMar>
            <w:shd w:fill="F1F5F9"/>
          </w:tcPr>
          <w:p>
            <w:pPr>
              <w:spacing w:after="40"/>
            </w:pPr>
            <w:r>
              <w:rPr>
                <w:rFonts w:ascii="Times New Roman" w:hAnsi="Times New Roman"/>
                <w:b/>
                <w:sz w:val="19"/>
              </w:rPr>
              <w:t>Control y Mitigación Implementada</w:t>
            </w:r>
          </w:p>
        </w:tc>
        <w:tc>
          <w:tcPr>
            <w:tcW w:type="dxa" w:w="2340"/>
            <w:tcMar>
              <w:top w:w="70" w:type="dxa"/>
              <w:bottom w:w="70" w:type="dxa"/>
              <w:left w:w="100" w:type="dxa"/>
              <w:right w:w="100" w:type="dxa"/>
            </w:tcMar>
            <w:shd w:fill="F1F5F9"/>
          </w:tcPr>
          <w:p>
            <w:pPr>
              <w:spacing w:after="40"/>
            </w:pPr>
            <w:r>
              <w:rPr>
                <w:rFonts w:ascii="Times New Roman" w:hAnsi="Times New Roman"/>
                <w:b/>
                <w:sz w:val="19"/>
              </w:rPr>
              <w:t>Estado</w:t>
            </w:r>
          </w:p>
        </w:tc>
      </w:tr>
      <w:tr>
        <w:tc>
          <w:tcPr>
            <w:tcW w:type="dxa" w:w="2340"/>
            <w:tcMar>
              <w:top w:w="70" w:type="dxa"/>
              <w:bottom w:w="70" w:type="dxa"/>
              <w:left w:w="100" w:type="dxa"/>
              <w:right w:w="100" w:type="dxa"/>
            </w:tcMar>
          </w:tcPr>
          <w:p>
            <w:pPr>
              <w:spacing w:after="40"/>
            </w:pPr>
            <w:r>
              <w:rPr>
                <w:rFonts w:ascii="Times New Roman" w:hAnsi="Times New Roman"/>
                <w:sz w:val="19"/>
              </w:rPr>
              <w:t>API1: Broken Object Level Authorization (BOLA)</w:t>
            </w:r>
          </w:p>
        </w:tc>
        <w:tc>
          <w:tcPr>
            <w:tcW w:type="dxa" w:w="2340"/>
            <w:tcMar>
              <w:top w:w="70" w:type="dxa"/>
              <w:bottom w:w="70" w:type="dxa"/>
              <w:left w:w="100" w:type="dxa"/>
              <w:right w:w="100" w:type="dxa"/>
            </w:tcMar>
          </w:tcPr>
          <w:p>
            <w:pPr>
              <w:spacing w:after="40"/>
            </w:pPr>
            <w:r>
              <w:rPr>
                <w:rFonts w:ascii="Times New Roman" w:hAnsi="Times New Roman"/>
                <w:sz w:val="19"/>
              </w:rPr>
              <w:t>Acceso o manipulación de cosechas o tareas de otro usuario mediante alteración de IDs en URL.</w:t>
            </w:r>
          </w:p>
        </w:tc>
        <w:tc>
          <w:tcPr>
            <w:tcW w:type="dxa" w:w="2340"/>
            <w:tcMar>
              <w:top w:w="70" w:type="dxa"/>
              <w:bottom w:w="70" w:type="dxa"/>
              <w:left w:w="100" w:type="dxa"/>
              <w:right w:w="100" w:type="dxa"/>
            </w:tcMar>
          </w:tcPr>
          <w:p>
            <w:pPr>
              <w:spacing w:after="40"/>
            </w:pPr>
            <w:r>
              <w:rPr>
                <w:rFonts w:ascii="Times New Roman" w:hAnsi="Times New Roman"/>
                <w:sz w:val="19"/>
              </w:rPr>
              <w:t>Políticas nativas RLS en PostgreSQL: 'USING (auth.uid() = user_id)'. Retorno estricto de 404 Not Found ante intentos de acceso cruzado.</w:t>
            </w:r>
          </w:p>
        </w:tc>
        <w:tc>
          <w:tcPr>
            <w:tcW w:type="dxa" w:w="2340"/>
            <w:tcMar>
              <w:top w:w="70" w:type="dxa"/>
              <w:bottom w:w="70" w:type="dxa"/>
              <w:left w:w="100" w:type="dxa"/>
              <w:right w:w="100" w:type="dxa"/>
            </w:tcMar>
          </w:tcPr>
          <w:p>
            <w:pPr>
              <w:spacing w:after="40"/>
            </w:pPr>
            <w:r>
              <w:rPr>
                <w:rFonts w:ascii="Times New Roman" w:hAnsi="Times New Roman"/>
                <w:b/>
                <w:sz w:val="19"/>
              </w:rPr>
              <w:t>Mitigado (100%)</w:t>
            </w:r>
          </w:p>
        </w:tc>
      </w:tr>
      <w:tr>
        <w:tc>
          <w:tcPr>
            <w:tcW w:type="dxa" w:w="2340"/>
            <w:tcMar>
              <w:top w:w="70" w:type="dxa"/>
              <w:bottom w:w="70" w:type="dxa"/>
              <w:left w:w="100" w:type="dxa"/>
              <w:right w:w="100" w:type="dxa"/>
            </w:tcMar>
          </w:tcPr>
          <w:p>
            <w:pPr>
              <w:spacing w:after="40"/>
            </w:pPr>
            <w:r>
              <w:rPr>
                <w:rFonts w:ascii="Times New Roman" w:hAnsi="Times New Roman"/>
                <w:sz w:val="19"/>
              </w:rPr>
              <w:t>API2: Broken Authentication</w:t>
            </w:r>
          </w:p>
        </w:tc>
        <w:tc>
          <w:tcPr>
            <w:tcW w:type="dxa" w:w="2340"/>
            <w:tcMar>
              <w:top w:w="70" w:type="dxa"/>
              <w:bottom w:w="70" w:type="dxa"/>
              <w:left w:w="100" w:type="dxa"/>
              <w:right w:w="100" w:type="dxa"/>
            </w:tcMar>
          </w:tcPr>
          <w:p>
            <w:pPr>
              <w:spacing w:after="40"/>
            </w:pPr>
            <w:r>
              <w:rPr>
                <w:rFonts w:ascii="Times New Roman" w:hAnsi="Times New Roman"/>
                <w:sz w:val="19"/>
              </w:rPr>
              <w:t>Robo de sesiones o suplantación de identidad en redes móviles cruceñas.</w:t>
            </w:r>
          </w:p>
        </w:tc>
        <w:tc>
          <w:tcPr>
            <w:tcW w:type="dxa" w:w="2340"/>
            <w:tcMar>
              <w:top w:w="70" w:type="dxa"/>
              <w:bottom w:w="70" w:type="dxa"/>
              <w:left w:w="100" w:type="dxa"/>
              <w:right w:w="100" w:type="dxa"/>
            </w:tcMar>
          </w:tcPr>
          <w:p>
            <w:pPr>
              <w:spacing w:after="40"/>
            </w:pPr>
            <w:r>
              <w:rPr>
                <w:rFonts w:ascii="Times New Roman" w:hAnsi="Times New Roman"/>
                <w:sz w:val="19"/>
              </w:rPr>
              <w:t>Access tokens de vida corta (15 min), rotación estricta de refresh tokens, passwords con hash PBKDF2/bcrypt y rechazo de firmas alteradas.</w:t>
            </w:r>
          </w:p>
        </w:tc>
        <w:tc>
          <w:tcPr>
            <w:tcW w:type="dxa" w:w="2340"/>
            <w:tcMar>
              <w:top w:w="70" w:type="dxa"/>
              <w:bottom w:w="70" w:type="dxa"/>
              <w:left w:w="100" w:type="dxa"/>
              <w:right w:w="100" w:type="dxa"/>
            </w:tcMar>
          </w:tcPr>
          <w:p>
            <w:pPr>
              <w:spacing w:after="40"/>
            </w:pPr>
            <w:r>
              <w:rPr>
                <w:rFonts w:ascii="Times New Roman" w:hAnsi="Times New Roman"/>
                <w:b/>
                <w:sz w:val="19"/>
              </w:rPr>
              <w:t>Mitigado (100%)</w:t>
            </w:r>
          </w:p>
        </w:tc>
      </w:tr>
      <w:tr>
        <w:tc>
          <w:tcPr>
            <w:tcW w:type="dxa" w:w="2340"/>
            <w:tcMar>
              <w:top w:w="70" w:type="dxa"/>
              <w:bottom w:w="70" w:type="dxa"/>
              <w:left w:w="100" w:type="dxa"/>
              <w:right w:w="100" w:type="dxa"/>
            </w:tcMar>
          </w:tcPr>
          <w:p>
            <w:pPr>
              <w:spacing w:after="40"/>
            </w:pPr>
            <w:r>
              <w:rPr>
                <w:rFonts w:ascii="Times New Roman" w:hAnsi="Times New Roman"/>
                <w:sz w:val="19"/>
              </w:rPr>
              <w:t>API3: Broken Object Property Level Authorization</w:t>
            </w:r>
          </w:p>
        </w:tc>
        <w:tc>
          <w:tcPr>
            <w:tcW w:type="dxa" w:w="2340"/>
            <w:tcMar>
              <w:top w:w="70" w:type="dxa"/>
              <w:bottom w:w="70" w:type="dxa"/>
              <w:left w:w="100" w:type="dxa"/>
              <w:right w:w="100" w:type="dxa"/>
            </w:tcMar>
          </w:tcPr>
          <w:p>
            <w:pPr>
              <w:spacing w:after="40"/>
            </w:pPr>
            <w:r>
              <w:rPr>
                <w:rFonts w:ascii="Times New Roman" w:hAnsi="Times New Roman"/>
                <w:sz w:val="19"/>
              </w:rPr>
              <w:t>Inyección de atributos protegidos (ej. 'user_id', 'id', 'rol') en cuerpos JSON.</w:t>
            </w:r>
          </w:p>
        </w:tc>
        <w:tc>
          <w:tcPr>
            <w:tcW w:type="dxa" w:w="2340"/>
            <w:tcMar>
              <w:top w:w="70" w:type="dxa"/>
              <w:bottom w:w="70" w:type="dxa"/>
              <w:left w:w="100" w:type="dxa"/>
              <w:right w:w="100" w:type="dxa"/>
            </w:tcMar>
          </w:tcPr>
          <w:p>
            <w:pPr>
              <w:spacing w:after="40"/>
            </w:pPr>
            <w:r>
              <w:rPr>
                <w:rFonts w:ascii="Times New Roman" w:hAnsi="Times New Roman"/>
                <w:sz w:val="19"/>
              </w:rPr>
              <w:t>Esquemas Marshmallow estrictos que filtran atributos no declarados e impiden asignación masiva de campos privilegiados.</w:t>
            </w:r>
          </w:p>
        </w:tc>
        <w:tc>
          <w:tcPr>
            <w:tcW w:type="dxa" w:w="2340"/>
            <w:tcMar>
              <w:top w:w="70" w:type="dxa"/>
              <w:bottom w:w="70" w:type="dxa"/>
              <w:left w:w="100" w:type="dxa"/>
              <w:right w:w="100" w:type="dxa"/>
            </w:tcMar>
          </w:tcPr>
          <w:p>
            <w:pPr>
              <w:spacing w:after="40"/>
            </w:pPr>
            <w:r>
              <w:rPr>
                <w:rFonts w:ascii="Times New Roman" w:hAnsi="Times New Roman"/>
                <w:b/>
                <w:sz w:val="19"/>
              </w:rPr>
              <w:t>Mitigado (100%)</w:t>
            </w:r>
          </w:p>
        </w:tc>
      </w:tr>
      <w:tr>
        <w:tc>
          <w:tcPr>
            <w:tcW w:type="dxa" w:w="2340"/>
            <w:tcMar>
              <w:top w:w="70" w:type="dxa"/>
              <w:bottom w:w="70" w:type="dxa"/>
              <w:left w:w="100" w:type="dxa"/>
              <w:right w:w="100" w:type="dxa"/>
            </w:tcMar>
          </w:tcPr>
          <w:p>
            <w:pPr>
              <w:spacing w:after="40"/>
            </w:pPr>
            <w:r>
              <w:rPr>
                <w:rFonts w:ascii="Times New Roman" w:hAnsi="Times New Roman"/>
                <w:sz w:val="19"/>
              </w:rPr>
              <w:t>API4: Unrestricted Resource Consumption</w:t>
            </w:r>
          </w:p>
        </w:tc>
        <w:tc>
          <w:tcPr>
            <w:tcW w:type="dxa" w:w="2340"/>
            <w:tcMar>
              <w:top w:w="70" w:type="dxa"/>
              <w:bottom w:w="70" w:type="dxa"/>
              <w:left w:w="100" w:type="dxa"/>
              <w:right w:w="100" w:type="dxa"/>
            </w:tcMar>
          </w:tcPr>
          <w:p>
            <w:pPr>
              <w:spacing w:after="40"/>
            </w:pPr>
            <w:r>
              <w:rPr>
                <w:rFonts w:ascii="Times New Roman" w:hAnsi="Times New Roman"/>
                <w:sz w:val="19"/>
              </w:rPr>
              <w:t>Denegación de servicio por consultas masivas no indexadas.</w:t>
            </w:r>
          </w:p>
        </w:tc>
        <w:tc>
          <w:tcPr>
            <w:tcW w:type="dxa" w:w="2340"/>
            <w:tcMar>
              <w:top w:w="70" w:type="dxa"/>
              <w:bottom w:w="70" w:type="dxa"/>
              <w:left w:w="100" w:type="dxa"/>
              <w:right w:w="100" w:type="dxa"/>
            </w:tcMar>
          </w:tcPr>
          <w:p>
            <w:pPr>
              <w:spacing w:after="40"/>
            </w:pPr>
            <w:r>
              <w:rPr>
                <w:rFonts w:ascii="Times New Roman" w:hAnsi="Times New Roman"/>
                <w:sz w:val="19"/>
              </w:rPr>
              <w:t>Indexación de columnas frecuentes ('user_id', 'productor_id') y validación de longitud máxima en cadenas (títulos ≤ 150 caracteres).</w:t>
            </w:r>
          </w:p>
        </w:tc>
        <w:tc>
          <w:tcPr>
            <w:tcW w:type="dxa" w:w="2340"/>
            <w:tcMar>
              <w:top w:w="70" w:type="dxa"/>
              <w:bottom w:w="70" w:type="dxa"/>
              <w:left w:w="100" w:type="dxa"/>
              <w:right w:w="100" w:type="dxa"/>
            </w:tcMar>
          </w:tcPr>
          <w:p>
            <w:pPr>
              <w:spacing w:after="40"/>
            </w:pPr>
            <w:r>
              <w:rPr>
                <w:rFonts w:ascii="Times New Roman" w:hAnsi="Times New Roman"/>
                <w:b/>
                <w:sz w:val="19"/>
              </w:rPr>
              <w:t>Mitigado (100%)</w:t>
            </w:r>
          </w:p>
        </w:tc>
      </w:tr>
      <w:tr>
        <w:tc>
          <w:tcPr>
            <w:tcW w:type="dxa" w:w="2340"/>
            <w:tcMar>
              <w:top w:w="70" w:type="dxa"/>
              <w:bottom w:w="70" w:type="dxa"/>
              <w:left w:w="100" w:type="dxa"/>
              <w:right w:w="100" w:type="dxa"/>
            </w:tcMar>
          </w:tcPr>
          <w:p>
            <w:pPr>
              <w:spacing w:after="40"/>
            </w:pPr>
            <w:r>
              <w:rPr>
                <w:rFonts w:ascii="Times New Roman" w:hAnsi="Times New Roman"/>
                <w:sz w:val="19"/>
              </w:rPr>
              <w:t>API5: Broken Function Level Authorization</w:t>
            </w:r>
          </w:p>
        </w:tc>
        <w:tc>
          <w:tcPr>
            <w:tcW w:type="dxa" w:w="2340"/>
            <w:tcMar>
              <w:top w:w="70" w:type="dxa"/>
              <w:bottom w:w="70" w:type="dxa"/>
              <w:left w:w="100" w:type="dxa"/>
              <w:right w:w="100" w:type="dxa"/>
            </w:tcMar>
          </w:tcPr>
          <w:p>
            <w:pPr>
              <w:spacing w:after="40"/>
            </w:pPr>
            <w:r>
              <w:rPr>
                <w:rFonts w:ascii="Times New Roman" w:hAnsi="Times New Roman"/>
                <w:sz w:val="19"/>
              </w:rPr>
              <w:t>Consumidores ejecutando endpoints administrativos o cambiando estados de pedidos ajenos.</w:t>
            </w:r>
          </w:p>
        </w:tc>
        <w:tc>
          <w:tcPr>
            <w:tcW w:type="dxa" w:w="2340"/>
            <w:tcMar>
              <w:top w:w="70" w:type="dxa"/>
              <w:bottom w:w="70" w:type="dxa"/>
              <w:left w:w="100" w:type="dxa"/>
              <w:right w:w="100" w:type="dxa"/>
            </w:tcMar>
          </w:tcPr>
          <w:p>
            <w:pPr>
              <w:spacing w:after="40"/>
            </w:pPr>
            <w:r>
              <w:rPr>
                <w:rFonts w:ascii="Times New Roman" w:hAnsi="Times New Roman"/>
                <w:sz w:val="19"/>
              </w:rPr>
              <w:t>Decorador '@token_required' con verificación de claims y validación de identidad del productor en cada mutación.</w:t>
            </w:r>
          </w:p>
        </w:tc>
        <w:tc>
          <w:tcPr>
            <w:tcW w:type="dxa" w:w="2340"/>
            <w:tcMar>
              <w:top w:w="70" w:type="dxa"/>
              <w:bottom w:w="70" w:type="dxa"/>
              <w:left w:w="100" w:type="dxa"/>
              <w:right w:w="100" w:type="dxa"/>
            </w:tcMar>
          </w:tcPr>
          <w:p>
            <w:pPr>
              <w:spacing w:after="40"/>
            </w:pPr>
            <w:r>
              <w:rPr>
                <w:rFonts w:ascii="Times New Roman" w:hAnsi="Times New Roman"/>
                <w:b/>
                <w:sz w:val="19"/>
              </w:rPr>
              <w:t>Mitigado (100%)</w:t>
            </w:r>
          </w:p>
        </w:tc>
      </w:tr>
      <w:tr>
        <w:tc>
          <w:tcPr>
            <w:tcW w:type="dxa" w:w="2340"/>
            <w:tcMar>
              <w:top w:w="70" w:type="dxa"/>
              <w:bottom w:w="70" w:type="dxa"/>
              <w:left w:w="100" w:type="dxa"/>
              <w:right w:w="100" w:type="dxa"/>
            </w:tcMar>
          </w:tcPr>
          <w:p>
            <w:pPr>
              <w:spacing w:after="40"/>
            </w:pPr>
            <w:r>
              <w:rPr>
                <w:rFonts w:ascii="Times New Roman" w:hAnsi="Times New Roman"/>
                <w:sz w:val="19"/>
              </w:rPr>
              <w:t>API6: Unrestricted Access to Sensitive Business Flows</w:t>
            </w:r>
          </w:p>
        </w:tc>
        <w:tc>
          <w:tcPr>
            <w:tcW w:type="dxa" w:w="2340"/>
            <w:tcMar>
              <w:top w:w="70" w:type="dxa"/>
              <w:bottom w:w="70" w:type="dxa"/>
              <w:left w:w="100" w:type="dxa"/>
              <w:right w:w="100" w:type="dxa"/>
            </w:tcMar>
          </w:tcPr>
          <w:p>
            <w:pPr>
              <w:spacing w:after="40"/>
            </w:pPr>
            <w:r>
              <w:rPr>
                <w:rFonts w:ascii="Times New Roman" w:hAnsi="Times New Roman"/>
                <w:sz w:val="19"/>
              </w:rPr>
              <w:t>Creación masiva automatizada de cuentas de usuario saturando la base de datos.</w:t>
            </w:r>
          </w:p>
        </w:tc>
        <w:tc>
          <w:tcPr>
            <w:tcW w:type="dxa" w:w="2340"/>
            <w:tcMar>
              <w:top w:w="70" w:type="dxa"/>
              <w:bottom w:w="70" w:type="dxa"/>
              <w:left w:w="100" w:type="dxa"/>
              <w:right w:w="100" w:type="dxa"/>
            </w:tcMar>
          </w:tcPr>
          <w:p>
            <w:pPr>
              <w:spacing w:after="40"/>
            </w:pPr>
            <w:r>
              <w:rPr>
                <w:rFonts w:ascii="Times New Roman" w:hAnsi="Times New Roman"/>
                <w:sz w:val="19"/>
              </w:rPr>
              <w:t>Mecanismo de deduplicación con código HTTP 409 Conflict ante intentos de registro con correos preexistentes.</w:t>
            </w:r>
          </w:p>
        </w:tc>
        <w:tc>
          <w:tcPr>
            <w:tcW w:type="dxa" w:w="2340"/>
            <w:tcMar>
              <w:top w:w="70" w:type="dxa"/>
              <w:bottom w:w="70" w:type="dxa"/>
              <w:left w:w="100" w:type="dxa"/>
              <w:right w:w="100" w:type="dxa"/>
            </w:tcMar>
          </w:tcPr>
          <w:p>
            <w:pPr>
              <w:spacing w:after="40"/>
            </w:pPr>
            <w:r>
              <w:rPr>
                <w:rFonts w:ascii="Times New Roman" w:hAnsi="Times New Roman"/>
                <w:b/>
                <w:sz w:val="19"/>
              </w:rPr>
              <w:t>Mitigado (100%)</w:t>
            </w:r>
          </w:p>
        </w:tc>
      </w:tr>
      <w:tr>
        <w:tc>
          <w:tcPr>
            <w:tcW w:type="dxa" w:w="2340"/>
            <w:tcMar>
              <w:top w:w="70" w:type="dxa"/>
              <w:bottom w:w="70" w:type="dxa"/>
              <w:left w:w="100" w:type="dxa"/>
              <w:right w:w="100" w:type="dxa"/>
            </w:tcMar>
          </w:tcPr>
          <w:p>
            <w:pPr>
              <w:spacing w:after="40"/>
            </w:pPr>
            <w:r>
              <w:rPr>
                <w:rFonts w:ascii="Times New Roman" w:hAnsi="Times New Roman"/>
                <w:sz w:val="19"/>
              </w:rPr>
              <w:t>API7: Server Side Request Forgery (SSRF)</w:t>
            </w:r>
          </w:p>
        </w:tc>
        <w:tc>
          <w:tcPr>
            <w:tcW w:type="dxa" w:w="2340"/>
            <w:tcMar>
              <w:top w:w="70" w:type="dxa"/>
              <w:bottom w:w="70" w:type="dxa"/>
              <w:left w:w="100" w:type="dxa"/>
              <w:right w:w="100" w:type="dxa"/>
            </w:tcMar>
          </w:tcPr>
          <w:p>
            <w:pPr>
              <w:spacing w:after="40"/>
            </w:pPr>
            <w:r>
              <w:rPr>
                <w:rFonts w:ascii="Times New Roman" w:hAnsi="Times New Roman"/>
                <w:sz w:val="19"/>
              </w:rPr>
              <w:t>Inyección de URLs remotas maliciosas en imágenes de productos.</w:t>
            </w:r>
          </w:p>
        </w:tc>
        <w:tc>
          <w:tcPr>
            <w:tcW w:type="dxa" w:w="2340"/>
            <w:tcMar>
              <w:top w:w="70" w:type="dxa"/>
              <w:bottom w:w="70" w:type="dxa"/>
              <w:left w:w="100" w:type="dxa"/>
              <w:right w:w="100" w:type="dxa"/>
            </w:tcMar>
          </w:tcPr>
          <w:p>
            <w:pPr>
              <w:spacing w:after="40"/>
            </w:pPr>
            <w:r>
              <w:rPr>
                <w:rFonts w:ascii="Times New Roman" w:hAnsi="Times New Roman"/>
                <w:sz w:val="19"/>
              </w:rPr>
              <w:t>Validación de formatos y rutas relativas estandarizadas ('/images/*') en los esquemas de cosechas.</w:t>
            </w:r>
          </w:p>
        </w:tc>
        <w:tc>
          <w:tcPr>
            <w:tcW w:type="dxa" w:w="2340"/>
            <w:tcMar>
              <w:top w:w="70" w:type="dxa"/>
              <w:bottom w:w="70" w:type="dxa"/>
              <w:left w:w="100" w:type="dxa"/>
              <w:right w:w="100" w:type="dxa"/>
            </w:tcMar>
          </w:tcPr>
          <w:p>
            <w:pPr>
              <w:spacing w:after="40"/>
            </w:pPr>
            <w:r>
              <w:rPr>
                <w:rFonts w:ascii="Times New Roman" w:hAnsi="Times New Roman"/>
                <w:b/>
                <w:sz w:val="19"/>
              </w:rPr>
              <w:t>Mitigado (100%)</w:t>
            </w:r>
          </w:p>
        </w:tc>
      </w:tr>
      <w:tr>
        <w:tc>
          <w:tcPr>
            <w:tcW w:type="dxa" w:w="2340"/>
            <w:tcMar>
              <w:top w:w="70" w:type="dxa"/>
              <w:bottom w:w="70" w:type="dxa"/>
              <w:left w:w="100" w:type="dxa"/>
              <w:right w:w="100" w:type="dxa"/>
            </w:tcMar>
          </w:tcPr>
          <w:p>
            <w:pPr>
              <w:spacing w:after="40"/>
            </w:pPr>
            <w:r>
              <w:rPr>
                <w:rFonts w:ascii="Times New Roman" w:hAnsi="Times New Roman"/>
                <w:sz w:val="19"/>
              </w:rPr>
              <w:t>API8: Security Misconfiguration</w:t>
            </w:r>
          </w:p>
        </w:tc>
        <w:tc>
          <w:tcPr>
            <w:tcW w:type="dxa" w:w="2340"/>
            <w:tcMar>
              <w:top w:w="70" w:type="dxa"/>
              <w:bottom w:w="70" w:type="dxa"/>
              <w:left w:w="100" w:type="dxa"/>
              <w:right w:w="100" w:type="dxa"/>
            </w:tcMar>
          </w:tcPr>
          <w:p>
            <w:pPr>
              <w:spacing w:after="40"/>
            </w:pPr>
            <w:r>
              <w:rPr>
                <w:rFonts w:ascii="Times New Roman" w:hAnsi="Times New Roman"/>
                <w:sz w:val="19"/>
              </w:rPr>
              <w:t>CORS abierto a todo internet en producción; modo DEBUG activo exponiendo trazas internas.</w:t>
            </w:r>
          </w:p>
        </w:tc>
        <w:tc>
          <w:tcPr>
            <w:tcW w:type="dxa" w:w="2340"/>
            <w:tcMar>
              <w:top w:w="70" w:type="dxa"/>
              <w:bottom w:w="70" w:type="dxa"/>
              <w:left w:w="100" w:type="dxa"/>
              <w:right w:w="100" w:type="dxa"/>
            </w:tcMar>
          </w:tcPr>
          <w:p>
            <w:pPr>
              <w:spacing w:after="40"/>
            </w:pPr>
            <w:r>
              <w:rPr>
                <w:rFonts w:ascii="Times New Roman" w:hAnsi="Times New Roman"/>
                <w:sz w:val="19"/>
              </w:rPr>
              <w:t>CORS restringido por orígenes autorizados, modo DEBUG desactivado en producción, archivo .env excluido de Git.</w:t>
            </w:r>
          </w:p>
        </w:tc>
        <w:tc>
          <w:tcPr>
            <w:tcW w:type="dxa" w:w="2340"/>
            <w:tcMar>
              <w:top w:w="70" w:type="dxa"/>
              <w:bottom w:w="70" w:type="dxa"/>
              <w:left w:w="100" w:type="dxa"/>
              <w:right w:w="100" w:type="dxa"/>
            </w:tcMar>
          </w:tcPr>
          <w:p>
            <w:pPr>
              <w:spacing w:after="40"/>
            </w:pPr>
            <w:r>
              <w:rPr>
                <w:rFonts w:ascii="Times New Roman" w:hAnsi="Times New Roman"/>
                <w:b/>
                <w:sz w:val="19"/>
              </w:rPr>
              <w:t>Mitigado (100%)</w:t>
            </w:r>
          </w:p>
        </w:tc>
      </w:tr>
      <w:tr>
        <w:tc>
          <w:tcPr>
            <w:tcW w:type="dxa" w:w="2340"/>
            <w:tcMar>
              <w:top w:w="70" w:type="dxa"/>
              <w:bottom w:w="70" w:type="dxa"/>
              <w:left w:w="100" w:type="dxa"/>
              <w:right w:w="100" w:type="dxa"/>
            </w:tcMar>
          </w:tcPr>
          <w:p>
            <w:pPr>
              <w:spacing w:after="40"/>
            </w:pPr>
            <w:r>
              <w:rPr>
                <w:rFonts w:ascii="Times New Roman" w:hAnsi="Times New Roman"/>
                <w:sz w:val="19"/>
              </w:rPr>
              <w:t>API9: Improper Inventory Management</w:t>
            </w:r>
          </w:p>
        </w:tc>
        <w:tc>
          <w:tcPr>
            <w:tcW w:type="dxa" w:w="2340"/>
            <w:tcMar>
              <w:top w:w="70" w:type="dxa"/>
              <w:bottom w:w="70" w:type="dxa"/>
              <w:left w:w="100" w:type="dxa"/>
              <w:right w:w="100" w:type="dxa"/>
            </w:tcMar>
          </w:tcPr>
          <w:p>
            <w:pPr>
              <w:spacing w:after="40"/>
            </w:pPr>
            <w:r>
              <w:rPr>
                <w:rFonts w:ascii="Times New Roman" w:hAnsi="Times New Roman"/>
                <w:sz w:val="19"/>
              </w:rPr>
              <w:t>Endpoints de prueba expuestos u obsoletos sin documentar.</w:t>
            </w:r>
          </w:p>
        </w:tc>
        <w:tc>
          <w:tcPr>
            <w:tcW w:type="dxa" w:w="2340"/>
            <w:tcMar>
              <w:top w:w="70" w:type="dxa"/>
              <w:bottom w:w="70" w:type="dxa"/>
              <w:left w:w="100" w:type="dxa"/>
              <w:right w:w="100" w:type="dxa"/>
            </w:tcMar>
          </w:tcPr>
          <w:p>
            <w:pPr>
              <w:spacing w:after="40"/>
            </w:pPr>
            <w:r>
              <w:rPr>
                <w:rFonts w:ascii="Times New Roman" w:hAnsi="Times New Roman"/>
                <w:sz w:val="19"/>
              </w:rPr>
              <w:t>Centralización y versionado semántico formal en Swagger UI (/docs) y monitoreo en tiempo real vía /api/salud.</w:t>
            </w:r>
          </w:p>
        </w:tc>
        <w:tc>
          <w:tcPr>
            <w:tcW w:type="dxa" w:w="2340"/>
            <w:tcMar>
              <w:top w:w="70" w:type="dxa"/>
              <w:bottom w:w="70" w:type="dxa"/>
              <w:left w:w="100" w:type="dxa"/>
              <w:right w:w="100" w:type="dxa"/>
            </w:tcMar>
          </w:tcPr>
          <w:p>
            <w:pPr>
              <w:spacing w:after="40"/>
            </w:pPr>
            <w:r>
              <w:rPr>
                <w:rFonts w:ascii="Times New Roman" w:hAnsi="Times New Roman"/>
                <w:b/>
                <w:sz w:val="19"/>
              </w:rPr>
              <w:t>Mitigado (100%)</w:t>
            </w:r>
          </w:p>
        </w:tc>
      </w:tr>
      <w:tr>
        <w:tc>
          <w:tcPr>
            <w:tcW w:type="dxa" w:w="2340"/>
            <w:tcMar>
              <w:top w:w="70" w:type="dxa"/>
              <w:bottom w:w="70" w:type="dxa"/>
              <w:left w:w="100" w:type="dxa"/>
              <w:right w:w="100" w:type="dxa"/>
            </w:tcMar>
          </w:tcPr>
          <w:p>
            <w:pPr>
              <w:spacing w:after="40"/>
            </w:pPr>
            <w:r>
              <w:rPr>
                <w:rFonts w:ascii="Times New Roman" w:hAnsi="Times New Roman"/>
                <w:sz w:val="19"/>
              </w:rPr>
              <w:t>API10: Unsafe Consumption of APIs</w:t>
            </w:r>
          </w:p>
        </w:tc>
        <w:tc>
          <w:tcPr>
            <w:tcW w:type="dxa" w:w="2340"/>
            <w:tcMar>
              <w:top w:w="70" w:type="dxa"/>
              <w:bottom w:w="70" w:type="dxa"/>
              <w:left w:w="100" w:type="dxa"/>
              <w:right w:w="100" w:type="dxa"/>
            </w:tcMar>
          </w:tcPr>
          <w:p>
            <w:pPr>
              <w:spacing w:after="40"/>
            </w:pPr>
            <w:r>
              <w:rPr>
                <w:rFonts w:ascii="Times New Roman" w:hAnsi="Times New Roman"/>
                <w:sz w:val="19"/>
              </w:rPr>
              <w:t>Dependencia no validada de servicios de autenticación de terceros.</w:t>
            </w:r>
          </w:p>
        </w:tc>
        <w:tc>
          <w:tcPr>
            <w:tcW w:type="dxa" w:w="2340"/>
            <w:tcMar>
              <w:top w:w="70" w:type="dxa"/>
              <w:bottom w:w="70" w:type="dxa"/>
              <w:left w:w="100" w:type="dxa"/>
              <w:right w:w="100" w:type="dxa"/>
            </w:tcMar>
          </w:tcPr>
          <w:p>
            <w:pPr>
              <w:spacing w:after="40"/>
            </w:pPr>
            <w:r>
              <w:rPr>
                <w:rFonts w:ascii="Times New Roman" w:hAnsi="Times New Roman"/>
                <w:sz w:val="19"/>
              </w:rPr>
              <w:t>Verificación criptográfica de firma JWT y validación estricta de claims de emisor y audiencia con tolerancia de 10s.</w:t>
            </w:r>
          </w:p>
        </w:tc>
        <w:tc>
          <w:tcPr>
            <w:tcW w:type="dxa" w:w="2340"/>
            <w:tcMar>
              <w:top w:w="70" w:type="dxa"/>
              <w:bottom w:w="70" w:type="dxa"/>
              <w:left w:w="100" w:type="dxa"/>
              <w:right w:w="100" w:type="dxa"/>
            </w:tcMar>
          </w:tcPr>
          <w:p>
            <w:pPr>
              <w:spacing w:after="40"/>
            </w:pPr>
            <w:r>
              <w:rPr>
                <w:rFonts w:ascii="Times New Roman" w:hAnsi="Times New Roman"/>
                <w:b/>
                <w:sz w:val="19"/>
              </w:rPr>
              <w:t>Mitigado (100%)</w:t>
            </w:r>
          </w:p>
        </w:tc>
      </w:tr>
    </w:tbl>
    <w:p>
      <w:pPr>
        <w:spacing w:after="240" w:line="288" w:lineRule="auto"/>
        <w:jc w:val="both"/>
      </w:pPr>
      <w:r>
        <w:rPr>
          <w:rFonts w:ascii="Times New Roman" w:hAnsi="Times New Roman"/>
          <w:b w:val="0"/>
          <w:i/>
          <w:sz w:val="19"/>
        </w:rPr>
        <w:t>Nota. Evaluación efectuada bajo la matriz oficial OWASP API Security Top 10 (OWASP Foundation, 2023).</w:t>
      </w:r>
    </w:p>
    <w:p>
      <w:pPr>
        <w:keepNext/>
        <w:spacing w:before="200" w:after="60"/>
        <w:jc w:val="left"/>
      </w:pPr>
      <w:r>
        <w:rPr>
          <w:rFonts w:ascii="Times New Roman" w:hAnsi="Times New Roman"/>
          <w:b/>
          <w:color w:val="0F172A"/>
          <w:sz w:val="25"/>
        </w:rPr>
        <w:t>4.7. Matriz de Trazabilidad Integral (Casos de Uso CU-01 al CU-04)</w:t>
      </w:r>
    </w:p>
    <w:p>
      <w:pPr>
        <w:spacing w:after="120" w:line="288" w:lineRule="auto"/>
        <w:jc w:val="both"/>
      </w:pPr>
      <w:r>
        <w:rPr>
          <w:rFonts w:ascii="Times New Roman" w:hAnsi="Times New Roman"/>
          <w:b w:val="0"/>
          <w:i w:val="0"/>
          <w:sz w:val="24"/>
        </w:rPr>
        <w:t>A continuación se presenta la matriz de correspondencia formal entre los casos de uso definidos en la Actividad 01, la interfaz interactiva de la Actividad 02 y los endpoints REST construidos en la presente Actividad 03:</w:t>
      </w:r>
    </w:p>
    <w:p>
      <w:pPr>
        <w:spacing w:after="40" w:line="288" w:lineRule="auto"/>
        <w:jc w:val="both"/>
      </w:pPr>
      <w:r>
        <w:rPr>
          <w:rFonts w:ascii="Times New Roman" w:hAnsi="Times New Roman"/>
          <w:b/>
          <w:i w:val="0"/>
          <w:sz w:val="22"/>
        </w:rPr>
        <w:t>Tabla 3</w:t>
      </w:r>
    </w:p>
    <w:p>
      <w:pPr>
        <w:spacing w:after="120" w:line="288" w:lineRule="auto"/>
        <w:jc w:val="both"/>
      </w:pPr>
      <w:r>
        <w:rPr>
          <w:rFonts w:ascii="Times New Roman" w:hAnsi="Times New Roman"/>
          <w:b w:val="0"/>
          <w:i/>
          <w:sz w:val="22"/>
        </w:rPr>
        <w:t>Matriz de Trazabilidad Integral: Casos de Uso, Endpoints REST y Políticas RLS</w:t>
      </w:r>
    </w:p>
    <w:tbl>
      <w:tblPr>
        <w:tblW w:type="auto" w:w="0"/>
        <w:jc w:val="center"/>
        <w:tblLook w:firstColumn="1" w:firstRow="1" w:lastColumn="0" w:lastRow="0" w:noHBand="0" w:noVBand="1" w:val="04A0"/>
        <w:tblBorders>
          <w:top w:val="single" w:sz="8" w:space="0" w:color="333333"/>
          <w:bottom w:val="single" w:sz="8" w:space="0" w:color="333333"/>
          <w:insideH w:val="single" w:sz="4" w:space="0" w:color="CCCCCC"/>
          <w:insideV w:val="none"/>
          <w:left w:val="none"/>
          <w:right w:val="none"/>
        </w:tblBorders>
      </w:tblPr>
      <w:tblGrid>
        <w:gridCol w:w="1872"/>
        <w:gridCol w:w="1872"/>
        <w:gridCol w:w="1872"/>
        <w:gridCol w:w="1872"/>
        <w:gridCol w:w="1872"/>
      </w:tblGrid>
      <w:tr>
        <w:tc>
          <w:tcPr>
            <w:tcW w:type="dxa" w:w="1872"/>
            <w:tcMar>
              <w:top w:w="70" w:type="dxa"/>
              <w:bottom w:w="70" w:type="dxa"/>
              <w:left w:w="90" w:type="dxa"/>
              <w:right w:w="90" w:type="dxa"/>
            </w:tcMar>
            <w:shd w:fill="F1F5F9"/>
          </w:tcPr>
          <w:p>
            <w:pPr>
              <w:spacing w:after="40"/>
            </w:pPr>
            <w:r>
              <w:rPr>
                <w:rFonts w:ascii="Times New Roman" w:hAnsi="Times New Roman"/>
                <w:b/>
                <w:sz w:val="19"/>
              </w:rPr>
              <w:t>Caso de Uso (Actividad 01)</w:t>
            </w:r>
          </w:p>
        </w:tc>
        <w:tc>
          <w:tcPr>
            <w:tcW w:type="dxa" w:w="1872"/>
            <w:tcMar>
              <w:top w:w="70" w:type="dxa"/>
              <w:bottom w:w="70" w:type="dxa"/>
              <w:left w:w="90" w:type="dxa"/>
              <w:right w:w="90" w:type="dxa"/>
            </w:tcMar>
            <w:shd w:fill="F1F5F9"/>
          </w:tcPr>
          <w:p>
            <w:pPr>
              <w:spacing w:after="40"/>
            </w:pPr>
            <w:r>
              <w:rPr>
                <w:rFonts w:ascii="Times New Roman" w:hAnsi="Times New Roman"/>
                <w:b/>
                <w:sz w:val="19"/>
              </w:rPr>
              <w:t>Endpoint REST (Actividad 03)</w:t>
            </w:r>
          </w:p>
        </w:tc>
        <w:tc>
          <w:tcPr>
            <w:tcW w:type="dxa" w:w="1872"/>
            <w:tcMar>
              <w:top w:w="70" w:type="dxa"/>
              <w:bottom w:w="70" w:type="dxa"/>
              <w:left w:w="90" w:type="dxa"/>
              <w:right w:w="90" w:type="dxa"/>
            </w:tcMar>
            <w:shd w:fill="F1F5F9"/>
          </w:tcPr>
          <w:p>
            <w:pPr>
              <w:spacing w:after="40"/>
            </w:pPr>
            <w:r>
              <w:rPr>
                <w:rFonts w:ascii="Times New Roman" w:hAnsi="Times New Roman"/>
                <w:b/>
                <w:sz w:val="19"/>
              </w:rPr>
              <w:t>Tabla Relacional</w:t>
            </w:r>
          </w:p>
        </w:tc>
        <w:tc>
          <w:tcPr>
            <w:tcW w:type="dxa" w:w="1872"/>
            <w:tcMar>
              <w:top w:w="70" w:type="dxa"/>
              <w:bottom w:w="70" w:type="dxa"/>
              <w:left w:w="90" w:type="dxa"/>
              <w:right w:w="90" w:type="dxa"/>
            </w:tcMar>
            <w:shd w:fill="F1F5F9"/>
          </w:tcPr>
          <w:p>
            <w:pPr>
              <w:spacing w:after="40"/>
            </w:pPr>
            <w:r>
              <w:rPr>
                <w:rFonts w:ascii="Times New Roman" w:hAnsi="Times New Roman"/>
                <w:b/>
                <w:sz w:val="19"/>
              </w:rPr>
              <w:t>Control RLS / Mecanismo</w:t>
            </w:r>
          </w:p>
        </w:tc>
        <w:tc>
          <w:tcPr>
            <w:tcW w:type="dxa" w:w="1872"/>
            <w:tcMar>
              <w:top w:w="70" w:type="dxa"/>
              <w:bottom w:w="70" w:type="dxa"/>
              <w:left w:w="90" w:type="dxa"/>
              <w:right w:w="90" w:type="dxa"/>
            </w:tcMar>
            <w:shd w:fill="F1F5F9"/>
          </w:tcPr>
          <w:p>
            <w:pPr>
              <w:spacing w:after="40"/>
            </w:pPr>
            <w:r>
              <w:rPr>
                <w:rFonts w:ascii="Times New Roman" w:hAnsi="Times New Roman"/>
                <w:b/>
                <w:sz w:val="19"/>
              </w:rPr>
              <w:t>Criterio de Verificación</w:t>
            </w:r>
          </w:p>
        </w:tc>
      </w:tr>
      <w:tr>
        <w:tc>
          <w:tcPr>
            <w:tcW w:type="dxa" w:w="1872"/>
            <w:tcMar>
              <w:top w:w="70" w:type="dxa"/>
              <w:bottom w:w="70" w:type="dxa"/>
              <w:left w:w="90" w:type="dxa"/>
              <w:right w:w="90" w:type="dxa"/>
            </w:tcMar>
          </w:tcPr>
          <w:p>
            <w:pPr>
              <w:spacing w:after="40"/>
            </w:pPr>
            <w:r>
              <w:rPr>
                <w:rFonts w:ascii="Times New Roman" w:hAnsi="Times New Roman"/>
                <w:sz w:val="19"/>
              </w:rPr>
              <w:t>CU-01: Catálogo Semanal</w:t>
            </w:r>
          </w:p>
        </w:tc>
        <w:tc>
          <w:tcPr>
            <w:tcW w:type="dxa" w:w="1872"/>
            <w:tcMar>
              <w:top w:w="70" w:type="dxa"/>
              <w:bottom w:w="70" w:type="dxa"/>
              <w:left w:w="90" w:type="dxa"/>
              <w:right w:w="90" w:type="dxa"/>
            </w:tcMar>
          </w:tcPr>
          <w:p>
            <w:pPr>
              <w:spacing w:after="40"/>
            </w:pPr>
            <w:r>
              <w:rPr>
                <w:rFonts w:ascii="Times New Roman" w:hAnsi="Times New Roman"/>
                <w:sz w:val="19"/>
              </w:rPr>
              <w:t>GET /api/productos</w:t>
              <w:br/>
              <w:t>GET /api/productos/:id</w:t>
            </w:r>
          </w:p>
        </w:tc>
        <w:tc>
          <w:tcPr>
            <w:tcW w:type="dxa" w:w="1872"/>
            <w:tcMar>
              <w:top w:w="70" w:type="dxa"/>
              <w:bottom w:w="70" w:type="dxa"/>
              <w:left w:w="90" w:type="dxa"/>
              <w:right w:w="90" w:type="dxa"/>
            </w:tcMar>
          </w:tcPr>
          <w:p>
            <w:pPr>
              <w:spacing w:after="40"/>
            </w:pPr>
            <w:r>
              <w:rPr>
                <w:rFonts w:ascii="Times New Roman" w:hAnsi="Times New Roman"/>
                <w:sz w:val="19"/>
              </w:rPr>
              <w:t>public.productos</w:t>
            </w:r>
          </w:p>
        </w:tc>
        <w:tc>
          <w:tcPr>
            <w:tcW w:type="dxa" w:w="1872"/>
            <w:tcMar>
              <w:top w:w="70" w:type="dxa"/>
              <w:bottom w:w="70" w:type="dxa"/>
              <w:left w:w="90" w:type="dxa"/>
              <w:right w:w="90" w:type="dxa"/>
            </w:tcMar>
          </w:tcPr>
          <w:p>
            <w:pPr>
              <w:spacing w:after="40"/>
            </w:pPr>
            <w:r>
              <w:rPr>
                <w:rFonts w:ascii="Times New Roman" w:hAnsi="Times New Roman"/>
                <w:sz w:val="19"/>
              </w:rPr>
              <w:t>productos_lectura_catalogo: activo = TRUE</w:t>
            </w:r>
          </w:p>
        </w:tc>
        <w:tc>
          <w:tcPr>
            <w:tcW w:type="dxa" w:w="1872"/>
            <w:tcMar>
              <w:top w:w="70" w:type="dxa"/>
              <w:bottom w:w="70" w:type="dxa"/>
              <w:left w:w="90" w:type="dxa"/>
              <w:right w:w="90" w:type="dxa"/>
            </w:tcMar>
          </w:tcPr>
          <w:p>
            <w:pPr>
              <w:spacing w:after="40"/>
            </w:pPr>
            <w:r>
              <w:rPr>
                <w:rFonts w:ascii="Times New Roman" w:hAnsi="Times New Roman"/>
                <w:sz w:val="19"/>
              </w:rPr>
              <w:t>Respuesta en &lt; 50 ms con array completo de cosechas feriales.</w:t>
            </w:r>
          </w:p>
        </w:tc>
      </w:tr>
      <w:tr>
        <w:tc>
          <w:tcPr>
            <w:tcW w:type="dxa" w:w="1872"/>
            <w:tcMar>
              <w:top w:w="70" w:type="dxa"/>
              <w:bottom w:w="70" w:type="dxa"/>
              <w:left w:w="90" w:type="dxa"/>
              <w:right w:w="90" w:type="dxa"/>
            </w:tcMar>
          </w:tcPr>
          <w:p>
            <w:pPr>
              <w:spacing w:after="40"/>
            </w:pPr>
            <w:r>
              <w:rPr>
                <w:rFonts w:ascii="Times New Roman" w:hAnsi="Times New Roman"/>
                <w:sz w:val="19"/>
              </w:rPr>
              <w:t>CU-02: Reserva Directa</w:t>
            </w:r>
          </w:p>
        </w:tc>
        <w:tc>
          <w:tcPr>
            <w:tcW w:type="dxa" w:w="1872"/>
            <w:tcMar>
              <w:top w:w="70" w:type="dxa"/>
              <w:bottom w:w="70" w:type="dxa"/>
              <w:left w:w="90" w:type="dxa"/>
              <w:right w:w="90" w:type="dxa"/>
            </w:tcMar>
          </w:tcPr>
          <w:p>
            <w:pPr>
              <w:spacing w:after="40"/>
            </w:pPr>
            <w:r>
              <w:rPr>
                <w:rFonts w:ascii="Times New Roman" w:hAnsi="Times New Roman"/>
                <w:sz w:val="19"/>
              </w:rPr>
              <w:t>POST /api/pedidos</w:t>
              <w:br/>
              <w:t>GET /api/pedidos/:codigo</w:t>
            </w:r>
          </w:p>
        </w:tc>
        <w:tc>
          <w:tcPr>
            <w:tcW w:type="dxa" w:w="1872"/>
            <w:tcMar>
              <w:top w:w="70" w:type="dxa"/>
              <w:bottom w:w="70" w:type="dxa"/>
              <w:left w:w="90" w:type="dxa"/>
              <w:right w:w="90" w:type="dxa"/>
            </w:tcMar>
          </w:tcPr>
          <w:p>
            <w:pPr>
              <w:spacing w:after="40"/>
            </w:pPr>
            <w:r>
              <w:rPr>
                <w:rFonts w:ascii="Times New Roman" w:hAnsi="Times New Roman"/>
                <w:sz w:val="19"/>
              </w:rPr>
              <w:t>public.pedidos</w:t>
              <w:br/>
              <w:t>public.detalle_pedidos</w:t>
            </w:r>
          </w:p>
        </w:tc>
        <w:tc>
          <w:tcPr>
            <w:tcW w:type="dxa" w:w="1872"/>
            <w:tcMar>
              <w:top w:w="70" w:type="dxa"/>
              <w:bottom w:w="70" w:type="dxa"/>
              <w:left w:w="90" w:type="dxa"/>
              <w:right w:w="90" w:type="dxa"/>
            </w:tcMar>
          </w:tcPr>
          <w:p>
            <w:pPr>
              <w:spacing w:after="40"/>
            </w:pPr>
            <w:r>
              <w:rPr>
                <w:rFonts w:ascii="Times New Roman" w:hAnsi="Times New Roman"/>
                <w:sz w:val="19"/>
              </w:rPr>
              <w:t>pedidos_creacion_publica</w:t>
              <w:br/>
              <w:t>pedidos_consulta_cliente</w:t>
            </w:r>
          </w:p>
        </w:tc>
        <w:tc>
          <w:tcPr>
            <w:tcW w:type="dxa" w:w="1872"/>
            <w:tcMar>
              <w:top w:w="70" w:type="dxa"/>
              <w:bottom w:w="70" w:type="dxa"/>
              <w:left w:w="90" w:type="dxa"/>
              <w:right w:w="90" w:type="dxa"/>
            </w:tcMar>
          </w:tcPr>
          <w:p>
            <w:pPr>
              <w:spacing w:after="40"/>
            </w:pPr>
            <w:r>
              <w:rPr>
                <w:rFonts w:ascii="Times New Roman" w:hAnsi="Times New Roman"/>
                <w:sz w:val="19"/>
              </w:rPr>
              <w:t>Generación de código ECO-XXXX y validación regex de celular cruceño.</w:t>
            </w:r>
          </w:p>
        </w:tc>
      </w:tr>
      <w:tr>
        <w:tc>
          <w:tcPr>
            <w:tcW w:type="dxa" w:w="1872"/>
            <w:tcMar>
              <w:top w:w="70" w:type="dxa"/>
              <w:bottom w:w="70" w:type="dxa"/>
              <w:left w:w="90" w:type="dxa"/>
              <w:right w:w="90" w:type="dxa"/>
            </w:tcMar>
          </w:tcPr>
          <w:p>
            <w:pPr>
              <w:spacing w:after="40"/>
            </w:pPr>
            <w:r>
              <w:rPr>
                <w:rFonts w:ascii="Times New Roman" w:hAnsi="Times New Roman"/>
                <w:sz w:val="19"/>
              </w:rPr>
              <w:t>CU-03: Gestión Cosechas</w:t>
            </w:r>
          </w:p>
        </w:tc>
        <w:tc>
          <w:tcPr>
            <w:tcW w:type="dxa" w:w="1872"/>
            <w:tcMar>
              <w:top w:w="70" w:type="dxa"/>
              <w:bottom w:w="70" w:type="dxa"/>
              <w:left w:w="90" w:type="dxa"/>
              <w:right w:w="90" w:type="dxa"/>
            </w:tcMar>
          </w:tcPr>
          <w:p>
            <w:pPr>
              <w:spacing w:after="40"/>
            </w:pPr>
            <w:r>
              <w:rPr>
                <w:rFonts w:ascii="Times New Roman" w:hAnsi="Times New Roman"/>
                <w:sz w:val="19"/>
              </w:rPr>
              <w:t>POST /api/productos</w:t>
              <w:br/>
              <w:t>PATCH /api/productos/:id</w:t>
              <w:br/>
              <w:t>DELETE /api/productos/:id</w:t>
            </w:r>
          </w:p>
        </w:tc>
        <w:tc>
          <w:tcPr>
            <w:tcW w:type="dxa" w:w="1872"/>
            <w:tcMar>
              <w:top w:w="70" w:type="dxa"/>
              <w:bottom w:w="70" w:type="dxa"/>
              <w:left w:w="90" w:type="dxa"/>
              <w:right w:w="90" w:type="dxa"/>
            </w:tcMar>
          </w:tcPr>
          <w:p>
            <w:pPr>
              <w:spacing w:after="40"/>
            </w:pPr>
            <w:r>
              <w:rPr>
                <w:rFonts w:ascii="Times New Roman" w:hAnsi="Times New Roman"/>
                <w:sz w:val="19"/>
              </w:rPr>
              <w:t>public.productos</w:t>
            </w:r>
          </w:p>
        </w:tc>
        <w:tc>
          <w:tcPr>
            <w:tcW w:type="dxa" w:w="1872"/>
            <w:tcMar>
              <w:top w:w="70" w:type="dxa"/>
              <w:bottom w:w="70" w:type="dxa"/>
              <w:left w:w="90" w:type="dxa"/>
              <w:right w:w="90" w:type="dxa"/>
            </w:tcMar>
          </w:tcPr>
          <w:p>
            <w:pPr>
              <w:spacing w:after="40"/>
            </w:pPr>
            <w:r>
              <w:rPr>
                <w:rFonts w:ascii="Times New Roman" w:hAnsi="Times New Roman"/>
                <w:sz w:val="19"/>
              </w:rPr>
              <w:t>productos_gestion_productor: user_id = auth.uid()</w:t>
            </w:r>
          </w:p>
        </w:tc>
        <w:tc>
          <w:tcPr>
            <w:tcW w:type="dxa" w:w="1872"/>
            <w:tcMar>
              <w:top w:w="70" w:type="dxa"/>
              <w:bottom w:w="70" w:type="dxa"/>
              <w:left w:w="90" w:type="dxa"/>
              <w:right w:w="90" w:type="dxa"/>
            </w:tcMar>
          </w:tcPr>
          <w:p>
            <w:pPr>
              <w:spacing w:after="40"/>
            </w:pPr>
            <w:r>
              <w:rPr>
                <w:rFonts w:ascii="Times New Roman" w:hAnsi="Times New Roman"/>
                <w:sz w:val="19"/>
              </w:rPr>
              <w:t>Aislamiento: ningún productor puede alterar cosechas ajenas.</w:t>
            </w:r>
          </w:p>
        </w:tc>
      </w:tr>
      <w:tr>
        <w:tc>
          <w:tcPr>
            <w:tcW w:type="dxa" w:w="1872"/>
            <w:tcMar>
              <w:top w:w="70" w:type="dxa"/>
              <w:bottom w:w="70" w:type="dxa"/>
              <w:left w:w="90" w:type="dxa"/>
              <w:right w:w="90" w:type="dxa"/>
            </w:tcMar>
          </w:tcPr>
          <w:p>
            <w:pPr>
              <w:spacing w:after="40"/>
            </w:pPr>
            <w:r>
              <w:rPr>
                <w:rFonts w:ascii="Times New Roman" w:hAnsi="Times New Roman"/>
                <w:sz w:val="19"/>
              </w:rPr>
              <w:t>CU-04: Monitoreo Despacho</w:t>
            </w:r>
          </w:p>
        </w:tc>
        <w:tc>
          <w:tcPr>
            <w:tcW w:type="dxa" w:w="1872"/>
            <w:tcMar>
              <w:top w:w="70" w:type="dxa"/>
              <w:bottom w:w="70" w:type="dxa"/>
              <w:left w:w="90" w:type="dxa"/>
              <w:right w:w="90" w:type="dxa"/>
            </w:tcMar>
          </w:tcPr>
          <w:p>
            <w:pPr>
              <w:spacing w:after="40"/>
            </w:pPr>
            <w:r>
              <w:rPr>
                <w:rFonts w:ascii="Times New Roman" w:hAnsi="Times New Roman"/>
                <w:sz w:val="19"/>
              </w:rPr>
              <w:t>GET /api/pedidos</w:t>
              <w:br/>
              <w:t>PATCH /api/pedidos/:id/estado</w:t>
            </w:r>
          </w:p>
        </w:tc>
        <w:tc>
          <w:tcPr>
            <w:tcW w:type="dxa" w:w="1872"/>
            <w:tcMar>
              <w:top w:w="70" w:type="dxa"/>
              <w:bottom w:w="70" w:type="dxa"/>
              <w:left w:w="90" w:type="dxa"/>
              <w:right w:w="90" w:type="dxa"/>
            </w:tcMar>
          </w:tcPr>
          <w:p>
            <w:pPr>
              <w:spacing w:after="40"/>
            </w:pPr>
            <w:r>
              <w:rPr>
                <w:rFonts w:ascii="Times New Roman" w:hAnsi="Times New Roman"/>
                <w:sz w:val="19"/>
              </w:rPr>
              <w:t>public.pedidos</w:t>
            </w:r>
          </w:p>
        </w:tc>
        <w:tc>
          <w:tcPr>
            <w:tcW w:type="dxa" w:w="1872"/>
            <w:tcMar>
              <w:top w:w="70" w:type="dxa"/>
              <w:bottom w:w="70" w:type="dxa"/>
              <w:left w:w="90" w:type="dxa"/>
              <w:right w:w="90" w:type="dxa"/>
            </w:tcMar>
          </w:tcPr>
          <w:p>
            <w:pPr>
              <w:spacing w:after="40"/>
            </w:pPr>
            <w:r>
              <w:rPr>
                <w:rFonts w:ascii="Times New Roman" w:hAnsi="Times New Roman"/>
                <w:sz w:val="19"/>
              </w:rPr>
              <w:t>pedidos_despacho_productor</w:t>
            </w:r>
          </w:p>
        </w:tc>
        <w:tc>
          <w:tcPr>
            <w:tcW w:type="dxa" w:w="1872"/>
            <w:tcMar>
              <w:top w:w="70" w:type="dxa"/>
              <w:bottom w:w="70" w:type="dxa"/>
              <w:left w:w="90" w:type="dxa"/>
              <w:right w:w="90" w:type="dxa"/>
            </w:tcMar>
          </w:tcPr>
          <w:p>
            <w:pPr>
              <w:spacing w:after="40"/>
            </w:pPr>
            <w:r>
              <w:rPr>
                <w:rFonts w:ascii="Times New Roman" w:hAnsi="Times New Roman"/>
                <w:sz w:val="19"/>
              </w:rPr>
              <w:t>Transiciones de estado: Registrado → En Cosecha → Listo.</w:t>
            </w:r>
          </w:p>
        </w:tc>
      </w:tr>
      <w:tr>
        <w:tc>
          <w:tcPr>
            <w:tcW w:type="dxa" w:w="1872"/>
            <w:tcMar>
              <w:top w:w="70" w:type="dxa"/>
              <w:bottom w:w="70" w:type="dxa"/>
              <w:left w:w="90" w:type="dxa"/>
              <w:right w:w="90" w:type="dxa"/>
            </w:tcMar>
          </w:tcPr>
          <w:p>
            <w:pPr>
              <w:spacing w:after="40"/>
            </w:pPr>
            <w:r>
              <w:rPr>
                <w:rFonts w:ascii="Times New Roman" w:hAnsi="Times New Roman"/>
                <w:sz w:val="19"/>
              </w:rPr>
              <w:t>Laboratorio: Tareas (Ana vs Beto)</w:t>
            </w:r>
          </w:p>
        </w:tc>
        <w:tc>
          <w:tcPr>
            <w:tcW w:type="dxa" w:w="1872"/>
            <w:tcMar>
              <w:top w:w="70" w:type="dxa"/>
              <w:bottom w:w="70" w:type="dxa"/>
              <w:left w:w="90" w:type="dxa"/>
              <w:right w:w="90" w:type="dxa"/>
            </w:tcMar>
          </w:tcPr>
          <w:p>
            <w:pPr>
              <w:spacing w:after="40"/>
            </w:pPr>
            <w:r>
              <w:rPr>
                <w:rFonts w:ascii="Times New Roman" w:hAnsi="Times New Roman"/>
                <w:sz w:val="19"/>
              </w:rPr>
              <w:t>GET /api/tareas</w:t>
              <w:br/>
              <w:t>POST /api/tareas</w:t>
              <w:br/>
              <w:t>PATCH /api/tareas/:id</w:t>
              <w:br/>
              <w:t>DELETE /api/tareas/:id</w:t>
            </w:r>
          </w:p>
        </w:tc>
        <w:tc>
          <w:tcPr>
            <w:tcW w:type="dxa" w:w="1872"/>
            <w:tcMar>
              <w:top w:w="70" w:type="dxa"/>
              <w:bottom w:w="70" w:type="dxa"/>
              <w:left w:w="90" w:type="dxa"/>
              <w:right w:w="90" w:type="dxa"/>
            </w:tcMar>
          </w:tcPr>
          <w:p>
            <w:pPr>
              <w:spacing w:after="40"/>
            </w:pPr>
            <w:r>
              <w:rPr>
                <w:rFonts w:ascii="Times New Roman" w:hAnsi="Times New Roman"/>
                <w:sz w:val="19"/>
              </w:rPr>
              <w:t>public.tareas</w:t>
            </w:r>
          </w:p>
        </w:tc>
        <w:tc>
          <w:tcPr>
            <w:tcW w:type="dxa" w:w="1872"/>
            <w:tcMar>
              <w:top w:w="70" w:type="dxa"/>
              <w:bottom w:w="70" w:type="dxa"/>
              <w:left w:w="90" w:type="dxa"/>
              <w:right w:w="90" w:type="dxa"/>
            </w:tcMar>
          </w:tcPr>
          <w:p>
            <w:pPr>
              <w:spacing w:after="40"/>
            </w:pPr>
            <w:r>
              <w:rPr>
                <w:rFonts w:ascii="Times New Roman" w:hAnsi="Times New Roman"/>
                <w:sz w:val="19"/>
              </w:rPr>
              <w:t>tareas_select_propias</w:t>
              <w:br/>
              <w:t>tareas_insert_propias</w:t>
              <w:br/>
              <w:t>tareas_update_propias</w:t>
              <w:br/>
              <w:t>tareas_delete_propias</w:t>
            </w:r>
          </w:p>
        </w:tc>
        <w:tc>
          <w:tcPr>
            <w:tcW w:type="dxa" w:w="1872"/>
            <w:tcMar>
              <w:top w:w="70" w:type="dxa"/>
              <w:bottom w:w="70" w:type="dxa"/>
              <w:left w:w="90" w:type="dxa"/>
              <w:right w:w="90" w:type="dxa"/>
            </w:tcMar>
          </w:tcPr>
          <w:p>
            <w:pPr>
              <w:spacing w:after="40"/>
            </w:pPr>
            <w:r>
              <w:rPr>
                <w:rFonts w:ascii="Times New Roman" w:hAnsi="Times New Roman"/>
                <w:sz w:val="19"/>
              </w:rPr>
              <w:t>Aislamiento total: Beto recibe 404 al consultar tareas de Ana.</w:t>
            </w:r>
          </w:p>
        </w:tc>
      </w:tr>
    </w:tbl>
    <w:p>
      <w:pPr>
        <w:spacing w:after="240" w:line="288" w:lineRule="auto"/>
        <w:jc w:val="both"/>
      </w:pPr>
      <w:r>
        <w:rPr>
          <w:rFonts w:ascii="Times New Roman" w:hAnsi="Times New Roman"/>
          <w:b w:val="0"/>
          <w:i/>
          <w:sz w:val="19"/>
        </w:rPr>
        <w:t>Nota. Cobertura del 100% de los casos de uso del proyecto socioformativo y del laboratorio de cátedra.</w:t>
      </w:r>
    </w:p>
    <w:p>
      <w:pPr>
        <w:keepNext/>
        <w:spacing w:before="280" w:after="80"/>
        <w:jc w:val="left"/>
      </w:pPr>
      <w:r>
        <w:rPr>
          <w:rFonts w:ascii="Times New Roman" w:hAnsi="Times New Roman"/>
          <w:b/>
          <w:color w:val="1A366E"/>
          <w:sz w:val="28"/>
        </w:rPr>
        <w:t>5. Verificación de Calidad y Pruebas Automatizadas (Pytest)</w:t>
      </w:r>
    </w:p>
    <w:p>
      <w:pPr>
        <w:keepNext/>
        <w:spacing w:before="200" w:after="60"/>
        <w:jc w:val="left"/>
      </w:pPr>
      <w:r>
        <w:rPr>
          <w:rFonts w:ascii="Times New Roman" w:hAnsi="Times New Roman"/>
          <w:b/>
          <w:color w:val="0F172A"/>
          <w:sz w:val="25"/>
        </w:rPr>
        <w:t>5.1. Batería de 22 Pruebas Unitarias y de Integración</w:t>
      </w:r>
    </w:p>
    <w:p>
      <w:pPr>
        <w:spacing w:after="120" w:line="288" w:lineRule="auto"/>
        <w:jc w:val="both"/>
      </w:pPr>
      <w:r>
        <w:rPr>
          <w:rFonts w:ascii="Times New Roman" w:hAnsi="Times New Roman"/>
          <w:b w:val="0"/>
          <w:i w:val="0"/>
          <w:sz w:val="24"/>
        </w:rPr>
        <w:t>Para certificar la robustez del backend, se construyó una batería de 22 pruebas automatizadas en 'backend/tests/test_api.py', ejecutadas mediante el framework Pytest 9.1.1. Las pruebas alcanzaron una tasa de éxito del 100% (22 passed) en 0.29 segundos, cubriendo la totalidad de los flujos críticos:</w:t>
      </w:r>
    </w:p>
    <w:p>
      <w:pPr>
        <w:spacing w:after="200" w:line="252" w:lineRule="auto"/>
        <w:ind w:left="576"/>
      </w:pPr>
      <w:r>
        <w:rPr>
          <w:rFonts w:ascii="Courier New" w:hAnsi="Courier New"/>
          <w:color w:val="0F172A"/>
          <w:sz w:val="17"/>
        </w:rPr>
        <w:t>============================= test session starts =============================</w:t>
        <w:br/>
        <w:t>platform win32 -- Python 3.11.9, pytest-9.1.1, pluggy-1.6.0</w:t>
        <w:br/>
        <w:t>rootdir: D:\Programacion web 2\Actividad_3\backend</w:t>
        <w:br/>
        <w:t>collected 22 items</w:t>
        <w:br/>
        <w:br/>
        <w:t>tests/test_api.py::test_01_salud_health_check PASSED                     [  4%]</w:t>
        <w:br/>
        <w:t>tests/test_api.py::test_02_registro_usuario_exitoso PASSED               [  9%]</w:t>
        <w:br/>
        <w:t>tests/test_api.py::test_03_registro_usuario_duplicado_409_deduplicacion PASSED [ 13%]</w:t>
        <w:br/>
        <w:t>tests/test_api.py::test_04_login_credenciales_correctas PASSED           [ 18%]</w:t>
        <w:br/>
        <w:t>tests/test_api.py::test_05_login_password_incorrecto_401 PASSED          [ 22%]</w:t>
        <w:br/>
        <w:t>tests/test_api.py::test_06_endpoint_protegido_sin_token_401 PASSED       [ 27%]</w:t>
        <w:br/>
        <w:t>tests/test_api.py::test_07_token_alterado_firma_invalida_401 PASSED      [ 31%]</w:t>
        <w:br/>
        <w:t>tests/test_api.py::test_08_token_expirado_401 PASSED                     [ 36%]</w:t>
        <w:br/>
        <w:t>tests/test_api.py::test_09_refresh_token_renovacion_exitosa PASSED       [ 40%]</w:t>
        <w:br/>
        <w:t>tests/test_api.py::test_10_crear_tarea_propia_201 PASSED                 [ 45%]</w:t>
        <w:br/>
        <w:t>tests/test_api.py::test_11_listar_tareas_usuario_solo_propias PASSED     [ 50%]</w:t>
        <w:br/>
        <w:t>tests/test_api.py::test_12_aislamiento_rls_beto_no_ve_tarea_de_ana_404 PASSED [ 54%]</w:t>
        <w:br/>
        <w:t>tests/test_api.py::test_13_aislamiento_rls_beto_no_puede_actualizar_tarea_de_ana_404 PASSED [ 59%]</w:t>
        <w:br/>
        <w:t>tests/test_api.py::test_14_aislamiento_rls_beto_no_puede_eliminar_tarea_de_ana_404 PASSED [ 63%]</w:t>
        <w:br/>
        <w:t>tests/test_api.py::test_15_ana_actualiza_parcialmente_su_tarea_patch_200 PASSED [ 68%]</w:t>
        <w:br/>
        <w:t>tests/test_api.py::test_16_ana_elimina_su_tarea_exitosa_200 PASSED       [ 72%]</w:t>
        <w:br/>
        <w:t>tests/test_api.py::test_17_documentacion_swagger_ui_disponible PASSED    [ 77%]</w:t>
        <w:br/>
        <w:t>tests/test_api.py::test_18_especificacion_openapi_json_valida PASSED     [ 81%]</w:t>
        <w:br/>
        <w:t>tests/test_api.py::test_19_ecoforia_cu01_catalogo_publico_productos PASSED [ 86%]</w:t>
        <w:br/>
        <w:t>tests/test_api.py::test_20_ecoforia_cu02_reserva_pedido_directo PASSED   [ 90%]</w:t>
        <w:br/>
        <w:t>tests/test_api.py::test_21_ecoforia_cu03_productor_actualiza_cosecha_patch PASSED [ 95%]</w:t>
        <w:br/>
        <w:t>tests/test_api.py::test_22_ecoforia_cu04_cambio_estado_despacho_ferial PASSED [100%]</w:t>
        <w:br/>
        <w:t>============================= 22 passed in 0.29s ==============================</w:t>
      </w:r>
    </w:p>
    <w:p>
      <w:pPr>
        <w:keepNext/>
        <w:spacing w:before="200" w:after="60"/>
        <w:jc w:val="left"/>
      </w:pPr>
      <w:r>
        <w:rPr>
          <w:rFonts w:ascii="Times New Roman" w:hAnsi="Times New Roman"/>
          <w:b/>
          <w:color w:val="0F172A"/>
          <w:sz w:val="25"/>
        </w:rPr>
        <w:t>5.2. Respuestas Técnicas Fundamentadas a las Preguntas de Cátedra</w:t>
      </w:r>
    </w:p>
    <w:p>
      <w:pPr>
        <w:spacing w:after="120" w:line="288" w:lineRule="auto"/>
        <w:jc w:val="both"/>
      </w:pPr>
      <w:r>
        <w:rPr>
          <w:rFonts w:ascii="Times New Roman" w:hAnsi="Times New Roman"/>
          <w:b w:val="0"/>
          <w:i w:val="0"/>
          <w:sz w:val="24"/>
        </w:rPr>
        <w:t>Durante la defensa oral, el docente evaluador profundiza en decisiones técnicas y conceptuales. A continuación se presentan las fundamentaciones de ingeniería implementadas en el proyecto:</w:t>
      </w:r>
    </w:p>
    <w:p>
      <w:pPr>
        <w:spacing w:after="120" w:line="288" w:lineRule="auto"/>
        <w:jc w:val="both"/>
      </w:pPr>
      <w:r>
        <w:rPr>
          <w:rFonts w:ascii="Times New Roman" w:hAnsi="Times New Roman"/>
          <w:b/>
          <w:i w:val="0"/>
          <w:sz w:val="22"/>
        </w:rPr>
        <w:t>1. ¿Por qué Beto recibe 404 Not Found y no 403 Forbidden al consultar la tarea de Ana?</w:t>
      </w:r>
    </w:p>
    <w:p>
      <w:pPr>
        <w:spacing w:after="120" w:line="288" w:lineRule="auto"/>
        <w:jc w:val="both"/>
      </w:pPr>
      <w:r>
        <w:rPr>
          <w:rFonts w:ascii="Times New Roman" w:hAnsi="Times New Roman"/>
          <w:b w:val="0"/>
          <w:i w:val="0"/>
          <w:sz w:val="24"/>
        </w:rPr>
        <w:t>Fundamentación: Por principio estricto de seguridad contra la enumeración de recursos (OWASP API1: BOLA). Si la API respondiera con '403 Forbidden', le estaría confirmando a Beto (el atacante o usuario no autorizado) que la tarea existe y que el identificador ingresado es válido. Al devolver '404 Not Found', para Beto ese registro simplemente no existe en el sistema. Además, a nivel de base de datos, la política RLS 'USING (auth.uid() = user_id)' filtra las filas antes de que lleguen a la aplicación, provocando que la consulta devuelva cero filas, lo que semánticamente se traduce de forma natural en 404.</w:t>
      </w:r>
    </w:p>
    <w:p>
      <w:pPr>
        <w:spacing w:after="120" w:line="288" w:lineRule="auto"/>
        <w:jc w:val="both"/>
      </w:pPr>
      <w:r>
        <w:rPr>
          <w:rFonts w:ascii="Times New Roman" w:hAnsi="Times New Roman"/>
          <w:b/>
          <w:i w:val="0"/>
          <w:sz w:val="22"/>
        </w:rPr>
        <w:t>2. ¿Por qué se utilizó PATCH en lugar de PUT para actualizar tareas y estados?</w:t>
      </w:r>
    </w:p>
    <w:p>
      <w:pPr>
        <w:spacing w:after="120" w:line="288" w:lineRule="auto"/>
        <w:jc w:val="both"/>
      </w:pPr>
      <w:r>
        <w:rPr>
          <w:rFonts w:ascii="Times New Roman" w:hAnsi="Times New Roman"/>
          <w:b w:val="0"/>
          <w:i w:val="0"/>
          <w:sz w:val="24"/>
        </w:rPr>
        <w:t>Fundamentación: El estándar HTTP (RFC 5789) define que PUT realiza un reemplazo completo e idempotente de la entidad; si el cliente no envía la totalidad de los atributos, los campos omitidos corren el riesgo de ser sobrescritos con valores nulos o por defecto. En contraste, PATCH permite aplicar modificaciones parciales y atómicas sobre atributos específicos (por ejemplo, mutar únicamente el booleano 'completada: true' o el 'stock_disponible'), optimizando la transferencia de datos en redes móviles y evitando condiciones de carrera de datos.</w:t>
      </w:r>
    </w:p>
    <w:p>
      <w:pPr>
        <w:spacing w:after="120" w:line="288" w:lineRule="auto"/>
        <w:jc w:val="both"/>
      </w:pPr>
      <w:r>
        <w:rPr>
          <w:rFonts w:ascii="Times New Roman" w:hAnsi="Times New Roman"/>
          <w:b/>
          <w:i w:val="0"/>
          <w:sz w:val="22"/>
        </w:rPr>
        <w:t>3. ¿Cuál es la diferencia entre USING y WITH CHECK en las políticas RLS?</w:t>
      </w:r>
    </w:p>
    <w:p>
      <w:pPr>
        <w:spacing w:after="120" w:line="288" w:lineRule="auto"/>
        <w:jc w:val="both"/>
      </w:pPr>
      <w:r>
        <w:rPr>
          <w:rFonts w:ascii="Times New Roman" w:hAnsi="Times New Roman"/>
          <w:b w:val="0"/>
          <w:i w:val="0"/>
          <w:sz w:val="24"/>
        </w:rPr>
        <w:t>Fundamentación: La cláusula 'USING' actúa como un filtro sobre las filas existentes al momento de ejecutar operaciones SELECT, UPDATE o DELETE; si la condición evaluada no es verdadera, PostgreSQL trata la fila como si no existiera en la tabla. Por otro lado, la cláusula 'WITH CHECK' valida los datos entrantes o modificados antes de confirmar una inserción (INSERT) o una actualización (UPDATE), impidiendo que un usuario suplante a otro inyectando un UID que no le pertenece.</w:t>
      </w:r>
    </w:p>
    <w:p>
      <w:pPr>
        <w:spacing w:after="120" w:line="288" w:lineRule="auto"/>
        <w:jc w:val="both"/>
      </w:pPr>
      <w:r>
        <w:rPr>
          <w:rFonts w:ascii="Times New Roman" w:hAnsi="Times New Roman"/>
          <w:b/>
          <w:i w:val="0"/>
          <w:sz w:val="22"/>
        </w:rPr>
        <w:t>4. ¿Por qué el registro de usuario duplicado devuelve 409 Conflict?</w:t>
      </w:r>
    </w:p>
    <w:p>
      <w:pPr>
        <w:spacing w:after="120" w:line="288" w:lineRule="auto"/>
        <w:jc w:val="both"/>
      </w:pPr>
      <w:r>
        <w:rPr>
          <w:rFonts w:ascii="Times New Roman" w:hAnsi="Times New Roman"/>
          <w:b w:val="0"/>
          <w:i w:val="0"/>
          <w:sz w:val="24"/>
        </w:rPr>
        <w:t>Fundamentación: De acuerdo con la especificación HTTP (RFC 7231), el código 409 Conflict indica que la solicitud no pudo procesarse debido a un conflicto con el estado actual del recurso en el servidor. Al intentar registrar un correo electrónico que ya existe en la base de datos, no se trata de un error de sintaxis del cliente (400) ni de falta de autorización (401), sino de un conflicto de unicidad e idempotencia, garantizando un control de deduplicación limpio conforme al estándar.</w:t>
      </w:r>
    </w:p>
    <w:p>
      <w:pPr>
        <w:spacing w:after="120" w:line="288" w:lineRule="auto"/>
        <w:jc w:val="both"/>
      </w:pPr>
      <w:r>
        <w:rPr>
          <w:rFonts w:ascii="Times New Roman" w:hAnsi="Times New Roman"/>
          <w:b/>
          <w:i w:val="0"/>
          <w:sz w:val="22"/>
        </w:rPr>
        <w:t>5. ¿Para qué se implementa el margen de tolerancia (Leeway) de 10 segundos?</w:t>
      </w:r>
    </w:p>
    <w:p>
      <w:pPr>
        <w:spacing w:after="120" w:line="288" w:lineRule="auto"/>
        <w:jc w:val="both"/>
      </w:pPr>
      <w:r>
        <w:rPr>
          <w:rFonts w:ascii="Times New Roman" w:hAnsi="Times New Roman"/>
          <w:b w:val="0"/>
          <w:i w:val="0"/>
          <w:sz w:val="24"/>
        </w:rPr>
        <w:t>Fundamentación: En arquitecturas en la nube distribuidas, los servidores de cómputo (ej. Render) y los servidores de base de datos (ej. Supabase) sincronizan sus relojes contra diferentes servidores NTP, lo que genera ligeras discrepancias temporales de milisegundos o segundos (clock skew). Un leeway de 10 segundos permite que un token recién emitido o en el segundo exacto de expiración no sea rechazado erróneamente debido a estas desincronizaciones de red.</w:t>
      </w:r>
    </w:p>
    <w:p>
      <w:pPr>
        <w:keepNext/>
        <w:spacing w:before="280" w:after="80"/>
        <w:jc w:val="left"/>
      </w:pPr>
      <w:r>
        <w:rPr>
          <w:rFonts w:ascii="Times New Roman" w:hAnsi="Times New Roman"/>
          <w:b/>
          <w:color w:val="1A366E"/>
          <w:sz w:val="28"/>
        </w:rPr>
        <w:t>6. Guía y Configuración de Despliegue en la Nube (Render)</w:t>
      </w:r>
    </w:p>
    <w:p>
      <w:pPr>
        <w:spacing w:after="120" w:line="288" w:lineRule="auto"/>
        <w:jc w:val="both"/>
      </w:pPr>
      <w:r>
        <w:rPr>
          <w:rFonts w:ascii="Times New Roman" w:hAnsi="Times New Roman"/>
          <w:b w:val="0"/>
          <w:i w:val="0"/>
          <w:sz w:val="24"/>
        </w:rPr>
        <w:t>La API backend fue preparada para su despliegue continuo en Render como un servicio web desacoplado y de costo cero (0 Bs), utilizando contenedores Linux con Python 3 y el servidor WSGI Gunicorn:</w:t>
      </w:r>
    </w:p>
    <w:p>
      <w:pPr>
        <w:spacing w:after="40" w:line="288" w:lineRule="auto"/>
        <w:jc w:val="both"/>
      </w:pPr>
      <w:r>
        <w:rPr>
          <w:rFonts w:ascii="Times New Roman" w:hAnsi="Times New Roman"/>
          <w:b/>
          <w:i w:val="0"/>
          <w:sz w:val="22"/>
        </w:rPr>
        <w:t>Tabla 4</w:t>
      </w:r>
    </w:p>
    <w:p>
      <w:pPr>
        <w:spacing w:after="120" w:line="288" w:lineRule="auto"/>
        <w:jc w:val="both"/>
      </w:pPr>
      <w:r>
        <w:rPr>
          <w:rFonts w:ascii="Times New Roman" w:hAnsi="Times New Roman"/>
          <w:b w:val="0"/>
          <w:i/>
          <w:sz w:val="22"/>
        </w:rPr>
        <w:t>Parámetros y Variables de Entorno para el Despliegue en Render</w:t>
      </w:r>
    </w:p>
    <w:tbl>
      <w:tblPr>
        <w:tblW w:type="auto" w:w="0"/>
        <w:jc w:val="center"/>
        <w:tblLook w:firstColumn="1" w:firstRow="1" w:lastColumn="0" w:lastRow="0" w:noHBand="0" w:noVBand="1" w:val="04A0"/>
        <w:tblBorders>
          <w:top w:val="single" w:sz="8" w:space="0" w:color="333333"/>
          <w:bottom w:val="single" w:sz="8" w:space="0" w:color="333333"/>
          <w:insideH w:val="single" w:sz="4" w:space="0" w:color="CCCCCC"/>
          <w:insideV w:val="none"/>
          <w:left w:val="none"/>
          <w:right w:val="none"/>
        </w:tblBorders>
      </w:tblPr>
      <w:tblGrid>
        <w:gridCol w:w="3120"/>
        <w:gridCol w:w="3120"/>
        <w:gridCol w:w="3120"/>
      </w:tblGrid>
      <w:tr>
        <w:tc>
          <w:tcPr>
            <w:tcW w:type="dxa" w:w="3120"/>
            <w:tcMar>
              <w:top w:w="70" w:type="dxa"/>
              <w:bottom w:w="70" w:type="dxa"/>
              <w:left w:w="100" w:type="dxa"/>
              <w:right w:w="100" w:type="dxa"/>
            </w:tcMar>
            <w:shd w:fill="F1F5F9"/>
          </w:tcPr>
          <w:p>
            <w:pPr>
              <w:spacing w:after="40"/>
            </w:pPr>
            <w:r>
              <w:rPr>
                <w:rFonts w:ascii="Times New Roman" w:hAnsi="Times New Roman"/>
                <w:b/>
                <w:sz w:val="19"/>
              </w:rPr>
              <w:t>Parámetro / Variable</w:t>
            </w:r>
          </w:p>
        </w:tc>
        <w:tc>
          <w:tcPr>
            <w:tcW w:type="dxa" w:w="3120"/>
            <w:tcMar>
              <w:top w:w="70" w:type="dxa"/>
              <w:bottom w:w="70" w:type="dxa"/>
              <w:left w:w="100" w:type="dxa"/>
              <w:right w:w="100" w:type="dxa"/>
            </w:tcMar>
            <w:shd w:fill="F1F5F9"/>
          </w:tcPr>
          <w:p>
            <w:pPr>
              <w:spacing w:after="40"/>
            </w:pPr>
            <w:r>
              <w:rPr>
                <w:rFonts w:ascii="Times New Roman" w:hAnsi="Times New Roman"/>
                <w:b/>
                <w:sz w:val="19"/>
              </w:rPr>
              <w:t>Valor Configurado</w:t>
            </w:r>
          </w:p>
        </w:tc>
        <w:tc>
          <w:tcPr>
            <w:tcW w:type="dxa" w:w="3120"/>
            <w:tcMar>
              <w:top w:w="70" w:type="dxa"/>
              <w:bottom w:w="70" w:type="dxa"/>
              <w:left w:w="100" w:type="dxa"/>
              <w:right w:w="100" w:type="dxa"/>
            </w:tcMar>
            <w:shd w:fill="F1F5F9"/>
          </w:tcPr>
          <w:p>
            <w:pPr>
              <w:spacing w:after="40"/>
            </w:pPr>
            <w:r>
              <w:rPr>
                <w:rFonts w:ascii="Times New Roman" w:hAnsi="Times New Roman"/>
                <w:b/>
                <w:sz w:val="19"/>
              </w:rPr>
              <w:t>Propósito en Producción</w:t>
            </w:r>
          </w:p>
        </w:tc>
      </w:tr>
      <w:tr>
        <w:tc>
          <w:tcPr>
            <w:tcW w:type="dxa" w:w="3120"/>
            <w:tcMar>
              <w:top w:w="70" w:type="dxa"/>
              <w:bottom w:w="70" w:type="dxa"/>
              <w:left w:w="100" w:type="dxa"/>
              <w:right w:w="100" w:type="dxa"/>
            </w:tcMar>
          </w:tcPr>
          <w:p>
            <w:pPr>
              <w:spacing w:after="40"/>
            </w:pPr>
            <w:r>
              <w:rPr>
                <w:rFonts w:ascii="Times New Roman" w:hAnsi="Times New Roman"/>
                <w:sz w:val="19"/>
              </w:rPr>
              <w:t>Service Type</w:t>
            </w:r>
          </w:p>
        </w:tc>
        <w:tc>
          <w:tcPr>
            <w:tcW w:type="dxa" w:w="3120"/>
            <w:tcMar>
              <w:top w:w="70" w:type="dxa"/>
              <w:bottom w:w="70" w:type="dxa"/>
              <w:left w:w="100" w:type="dxa"/>
              <w:right w:w="100" w:type="dxa"/>
            </w:tcMar>
          </w:tcPr>
          <w:p>
            <w:pPr>
              <w:spacing w:after="40"/>
            </w:pPr>
            <w:r>
              <w:rPr>
                <w:rFonts w:ascii="Times New Roman" w:hAnsi="Times New Roman"/>
                <w:sz w:val="19"/>
              </w:rPr>
              <w:t>Web Service</w:t>
            </w:r>
          </w:p>
        </w:tc>
        <w:tc>
          <w:tcPr>
            <w:tcW w:type="dxa" w:w="3120"/>
            <w:tcMar>
              <w:top w:w="70" w:type="dxa"/>
              <w:bottom w:w="70" w:type="dxa"/>
              <w:left w:w="100" w:type="dxa"/>
              <w:right w:w="100" w:type="dxa"/>
            </w:tcMar>
          </w:tcPr>
          <w:p>
            <w:pPr>
              <w:spacing w:after="40"/>
            </w:pPr>
            <w:r>
              <w:rPr>
                <w:rFonts w:ascii="Times New Roman" w:hAnsi="Times New Roman"/>
                <w:sz w:val="19"/>
              </w:rPr>
              <w:t>Servidor HTTP accesible públicamente con HTTPS automático.</w:t>
            </w:r>
          </w:p>
        </w:tc>
      </w:tr>
      <w:tr>
        <w:tc>
          <w:tcPr>
            <w:tcW w:type="dxa" w:w="3120"/>
            <w:tcMar>
              <w:top w:w="70" w:type="dxa"/>
              <w:bottom w:w="70" w:type="dxa"/>
              <w:left w:w="100" w:type="dxa"/>
              <w:right w:w="100" w:type="dxa"/>
            </w:tcMar>
          </w:tcPr>
          <w:p>
            <w:pPr>
              <w:spacing w:after="40"/>
            </w:pPr>
            <w:r>
              <w:rPr>
                <w:rFonts w:ascii="Times New Roman" w:hAnsi="Times New Roman"/>
                <w:sz w:val="19"/>
              </w:rPr>
              <w:t>Root Directory</w:t>
            </w:r>
          </w:p>
        </w:tc>
        <w:tc>
          <w:tcPr>
            <w:tcW w:type="dxa" w:w="3120"/>
            <w:tcMar>
              <w:top w:w="70" w:type="dxa"/>
              <w:bottom w:w="70" w:type="dxa"/>
              <w:left w:w="100" w:type="dxa"/>
              <w:right w:w="100" w:type="dxa"/>
            </w:tcMar>
          </w:tcPr>
          <w:p>
            <w:pPr>
              <w:spacing w:after="40"/>
            </w:pPr>
            <w:r>
              <w:rPr>
                <w:rFonts w:ascii="Times New Roman" w:hAnsi="Times New Roman"/>
                <w:sz w:val="19"/>
              </w:rPr>
              <w:t>backend</w:t>
            </w:r>
          </w:p>
        </w:tc>
        <w:tc>
          <w:tcPr>
            <w:tcW w:type="dxa" w:w="3120"/>
            <w:tcMar>
              <w:top w:w="70" w:type="dxa"/>
              <w:bottom w:w="70" w:type="dxa"/>
              <w:left w:w="100" w:type="dxa"/>
              <w:right w:w="100" w:type="dxa"/>
            </w:tcMar>
          </w:tcPr>
          <w:p>
            <w:pPr>
              <w:spacing w:after="40"/>
            </w:pPr>
            <w:r>
              <w:rPr>
                <w:rFonts w:ascii="Times New Roman" w:hAnsi="Times New Roman"/>
                <w:sz w:val="19"/>
              </w:rPr>
              <w:t>Aísla el contexto de compilación a la carpeta de la API.</w:t>
            </w:r>
          </w:p>
        </w:tc>
      </w:tr>
      <w:tr>
        <w:tc>
          <w:tcPr>
            <w:tcW w:type="dxa" w:w="3120"/>
            <w:tcMar>
              <w:top w:w="70" w:type="dxa"/>
              <w:bottom w:w="70" w:type="dxa"/>
              <w:left w:w="100" w:type="dxa"/>
              <w:right w:w="100" w:type="dxa"/>
            </w:tcMar>
          </w:tcPr>
          <w:p>
            <w:pPr>
              <w:spacing w:after="40"/>
            </w:pPr>
            <w:r>
              <w:rPr>
                <w:rFonts w:ascii="Times New Roman" w:hAnsi="Times New Roman"/>
                <w:sz w:val="19"/>
              </w:rPr>
              <w:t>Runtime</w:t>
            </w:r>
          </w:p>
        </w:tc>
        <w:tc>
          <w:tcPr>
            <w:tcW w:type="dxa" w:w="3120"/>
            <w:tcMar>
              <w:top w:w="70" w:type="dxa"/>
              <w:bottom w:w="70" w:type="dxa"/>
              <w:left w:w="100" w:type="dxa"/>
              <w:right w:w="100" w:type="dxa"/>
            </w:tcMar>
          </w:tcPr>
          <w:p>
            <w:pPr>
              <w:spacing w:after="40"/>
            </w:pPr>
            <w:r>
              <w:rPr>
                <w:rFonts w:ascii="Times New Roman" w:hAnsi="Times New Roman"/>
                <w:sz w:val="19"/>
              </w:rPr>
              <w:t>Python 3</w:t>
            </w:r>
          </w:p>
        </w:tc>
        <w:tc>
          <w:tcPr>
            <w:tcW w:type="dxa" w:w="3120"/>
            <w:tcMar>
              <w:top w:w="70" w:type="dxa"/>
              <w:bottom w:w="70" w:type="dxa"/>
              <w:left w:w="100" w:type="dxa"/>
              <w:right w:w="100" w:type="dxa"/>
            </w:tcMar>
          </w:tcPr>
          <w:p>
            <w:pPr>
              <w:spacing w:after="40"/>
            </w:pPr>
            <w:r>
              <w:rPr>
                <w:rFonts w:ascii="Times New Roman" w:hAnsi="Times New Roman"/>
                <w:sz w:val="19"/>
              </w:rPr>
              <w:t>Entorno de ejecución con Python 3.11 nativo.</w:t>
            </w:r>
          </w:p>
        </w:tc>
      </w:tr>
      <w:tr>
        <w:tc>
          <w:tcPr>
            <w:tcW w:type="dxa" w:w="3120"/>
            <w:tcMar>
              <w:top w:w="70" w:type="dxa"/>
              <w:bottom w:w="70" w:type="dxa"/>
              <w:left w:w="100" w:type="dxa"/>
              <w:right w:w="100" w:type="dxa"/>
            </w:tcMar>
          </w:tcPr>
          <w:p>
            <w:pPr>
              <w:spacing w:after="40"/>
            </w:pPr>
            <w:r>
              <w:rPr>
                <w:rFonts w:ascii="Times New Roman" w:hAnsi="Times New Roman"/>
                <w:sz w:val="19"/>
              </w:rPr>
              <w:t>Build Command</w:t>
            </w:r>
          </w:p>
        </w:tc>
        <w:tc>
          <w:tcPr>
            <w:tcW w:type="dxa" w:w="3120"/>
            <w:tcMar>
              <w:top w:w="70" w:type="dxa"/>
              <w:bottom w:w="70" w:type="dxa"/>
              <w:left w:w="100" w:type="dxa"/>
              <w:right w:w="100" w:type="dxa"/>
            </w:tcMar>
          </w:tcPr>
          <w:p>
            <w:pPr>
              <w:spacing w:after="40"/>
            </w:pPr>
            <w:r>
              <w:rPr>
                <w:rFonts w:ascii="Times New Roman" w:hAnsi="Times New Roman"/>
                <w:sz w:val="19"/>
              </w:rPr>
              <w:t>pip install -r requirements.txt</w:t>
            </w:r>
          </w:p>
        </w:tc>
        <w:tc>
          <w:tcPr>
            <w:tcW w:type="dxa" w:w="3120"/>
            <w:tcMar>
              <w:top w:w="70" w:type="dxa"/>
              <w:bottom w:w="70" w:type="dxa"/>
              <w:left w:w="100" w:type="dxa"/>
              <w:right w:w="100" w:type="dxa"/>
            </w:tcMar>
          </w:tcPr>
          <w:p>
            <w:pPr>
              <w:spacing w:after="40"/>
            </w:pPr>
            <w:r>
              <w:rPr>
                <w:rFonts w:ascii="Times New Roman" w:hAnsi="Times New Roman"/>
                <w:sz w:val="19"/>
              </w:rPr>
              <w:t>Instalación automatizada y determinista de dependencias.</w:t>
            </w:r>
          </w:p>
        </w:tc>
      </w:tr>
      <w:tr>
        <w:tc>
          <w:tcPr>
            <w:tcW w:type="dxa" w:w="3120"/>
            <w:tcMar>
              <w:top w:w="70" w:type="dxa"/>
              <w:bottom w:w="70" w:type="dxa"/>
              <w:left w:w="100" w:type="dxa"/>
              <w:right w:w="100" w:type="dxa"/>
            </w:tcMar>
          </w:tcPr>
          <w:p>
            <w:pPr>
              <w:spacing w:after="40"/>
            </w:pPr>
            <w:r>
              <w:rPr>
                <w:rFonts w:ascii="Times New Roman" w:hAnsi="Times New Roman"/>
                <w:sz w:val="19"/>
              </w:rPr>
              <w:t>Start Command</w:t>
            </w:r>
          </w:p>
        </w:tc>
        <w:tc>
          <w:tcPr>
            <w:tcW w:type="dxa" w:w="3120"/>
            <w:tcMar>
              <w:top w:w="70" w:type="dxa"/>
              <w:bottom w:w="70" w:type="dxa"/>
              <w:left w:w="100" w:type="dxa"/>
              <w:right w:w="100" w:type="dxa"/>
            </w:tcMar>
          </w:tcPr>
          <w:p>
            <w:pPr>
              <w:spacing w:after="40"/>
            </w:pPr>
            <w:r>
              <w:rPr>
                <w:rFonts w:ascii="Times New Roman" w:hAnsi="Times New Roman"/>
                <w:sz w:val="19"/>
              </w:rPr>
              <w:t>gunicorn "app:create_app()"</w:t>
            </w:r>
          </w:p>
        </w:tc>
        <w:tc>
          <w:tcPr>
            <w:tcW w:type="dxa" w:w="3120"/>
            <w:tcMar>
              <w:top w:w="70" w:type="dxa"/>
              <w:bottom w:w="70" w:type="dxa"/>
              <w:left w:w="100" w:type="dxa"/>
              <w:right w:w="100" w:type="dxa"/>
            </w:tcMar>
          </w:tcPr>
          <w:p>
            <w:pPr>
              <w:spacing w:after="40"/>
            </w:pPr>
            <w:r>
              <w:rPr>
                <w:rFonts w:ascii="Times New Roman" w:hAnsi="Times New Roman"/>
                <w:sz w:val="19"/>
              </w:rPr>
              <w:t>Servidor WSGI para producción concurrente.</w:t>
            </w:r>
          </w:p>
        </w:tc>
      </w:tr>
      <w:tr>
        <w:tc>
          <w:tcPr>
            <w:tcW w:type="dxa" w:w="3120"/>
            <w:tcMar>
              <w:top w:w="70" w:type="dxa"/>
              <w:bottom w:w="70" w:type="dxa"/>
              <w:left w:w="100" w:type="dxa"/>
              <w:right w:w="100" w:type="dxa"/>
            </w:tcMar>
          </w:tcPr>
          <w:p>
            <w:pPr>
              <w:spacing w:after="40"/>
            </w:pPr>
            <w:r>
              <w:rPr>
                <w:rFonts w:ascii="Times New Roman" w:hAnsi="Times New Roman"/>
                <w:sz w:val="19"/>
              </w:rPr>
              <w:t>FLASK_ENV</w:t>
            </w:r>
          </w:p>
        </w:tc>
        <w:tc>
          <w:tcPr>
            <w:tcW w:type="dxa" w:w="3120"/>
            <w:tcMar>
              <w:top w:w="70" w:type="dxa"/>
              <w:bottom w:w="70" w:type="dxa"/>
              <w:left w:w="100" w:type="dxa"/>
              <w:right w:w="100" w:type="dxa"/>
            </w:tcMar>
          </w:tcPr>
          <w:p>
            <w:pPr>
              <w:spacing w:after="40"/>
            </w:pPr>
            <w:r>
              <w:rPr>
                <w:rFonts w:ascii="Times New Roman" w:hAnsi="Times New Roman"/>
                <w:sz w:val="19"/>
              </w:rPr>
              <w:t>production</w:t>
            </w:r>
          </w:p>
        </w:tc>
        <w:tc>
          <w:tcPr>
            <w:tcW w:type="dxa" w:w="3120"/>
            <w:tcMar>
              <w:top w:w="70" w:type="dxa"/>
              <w:bottom w:w="70" w:type="dxa"/>
              <w:left w:w="100" w:type="dxa"/>
              <w:right w:w="100" w:type="dxa"/>
            </w:tcMar>
          </w:tcPr>
          <w:p>
            <w:pPr>
              <w:spacing w:after="40"/>
            </w:pPr>
            <w:r>
              <w:rPr>
                <w:rFonts w:ascii="Times New Roman" w:hAnsi="Times New Roman"/>
                <w:sz w:val="19"/>
              </w:rPr>
              <w:t>Deshabilita el modo de depuración interactivo (evita OWASP API8).</w:t>
            </w:r>
          </w:p>
        </w:tc>
      </w:tr>
      <w:tr>
        <w:tc>
          <w:tcPr>
            <w:tcW w:type="dxa" w:w="3120"/>
            <w:tcMar>
              <w:top w:w="70" w:type="dxa"/>
              <w:bottom w:w="70" w:type="dxa"/>
              <w:left w:w="100" w:type="dxa"/>
              <w:right w:w="100" w:type="dxa"/>
            </w:tcMar>
          </w:tcPr>
          <w:p>
            <w:pPr>
              <w:spacing w:after="40"/>
            </w:pPr>
            <w:r>
              <w:rPr>
                <w:rFonts w:ascii="Times New Roman" w:hAnsi="Times New Roman"/>
                <w:sz w:val="19"/>
              </w:rPr>
              <w:t>SUPABASE_URL</w:t>
            </w:r>
          </w:p>
        </w:tc>
        <w:tc>
          <w:tcPr>
            <w:tcW w:type="dxa" w:w="3120"/>
            <w:tcMar>
              <w:top w:w="70" w:type="dxa"/>
              <w:bottom w:w="70" w:type="dxa"/>
              <w:left w:w="100" w:type="dxa"/>
              <w:right w:w="100" w:type="dxa"/>
            </w:tcMar>
          </w:tcPr>
          <w:p>
            <w:pPr>
              <w:spacing w:after="40"/>
            </w:pPr>
            <w:r>
              <w:rPr>
                <w:rFonts w:ascii="Times New Roman" w:hAnsi="Times New Roman"/>
                <w:sz w:val="19"/>
              </w:rPr>
              <w:t>https://aejwjvawgluiapxtywkl.supabase.co</w:t>
            </w:r>
          </w:p>
        </w:tc>
        <w:tc>
          <w:tcPr>
            <w:tcW w:type="dxa" w:w="3120"/>
            <w:tcMar>
              <w:top w:w="70" w:type="dxa"/>
              <w:bottom w:w="70" w:type="dxa"/>
              <w:left w:w="100" w:type="dxa"/>
              <w:right w:w="100" w:type="dxa"/>
            </w:tcMar>
          </w:tcPr>
          <w:p>
            <w:pPr>
              <w:spacing w:after="40"/>
            </w:pPr>
            <w:r>
              <w:rPr>
                <w:rFonts w:ascii="Times New Roman" w:hAnsi="Times New Roman"/>
                <w:sz w:val="19"/>
              </w:rPr>
              <w:t>URL del proyecto en Supabase.</w:t>
            </w:r>
          </w:p>
        </w:tc>
      </w:tr>
      <w:tr>
        <w:tc>
          <w:tcPr>
            <w:tcW w:type="dxa" w:w="3120"/>
            <w:tcMar>
              <w:top w:w="70" w:type="dxa"/>
              <w:bottom w:w="70" w:type="dxa"/>
              <w:left w:w="100" w:type="dxa"/>
              <w:right w:w="100" w:type="dxa"/>
            </w:tcMar>
          </w:tcPr>
          <w:p>
            <w:pPr>
              <w:spacing w:after="40"/>
            </w:pPr>
            <w:r>
              <w:rPr>
                <w:rFonts w:ascii="Times New Roman" w:hAnsi="Times New Roman"/>
                <w:sz w:val="19"/>
              </w:rPr>
              <w:t>SUPABASE_KEY</w:t>
            </w:r>
          </w:p>
        </w:tc>
        <w:tc>
          <w:tcPr>
            <w:tcW w:type="dxa" w:w="3120"/>
            <w:tcMar>
              <w:top w:w="70" w:type="dxa"/>
              <w:bottom w:w="70" w:type="dxa"/>
              <w:left w:w="100" w:type="dxa"/>
              <w:right w:w="100" w:type="dxa"/>
            </w:tcMar>
          </w:tcPr>
          <w:p>
            <w:pPr>
              <w:spacing w:after="40"/>
            </w:pPr>
            <w:r>
              <w:rPr>
                <w:rFonts w:ascii="Times New Roman" w:hAnsi="Times New Roman"/>
                <w:sz w:val="19"/>
              </w:rPr>
              <w:t>sb_publishable_... (clave anon)</w:t>
            </w:r>
          </w:p>
        </w:tc>
        <w:tc>
          <w:tcPr>
            <w:tcW w:type="dxa" w:w="3120"/>
            <w:tcMar>
              <w:top w:w="70" w:type="dxa"/>
              <w:bottom w:w="70" w:type="dxa"/>
              <w:left w:w="100" w:type="dxa"/>
              <w:right w:w="100" w:type="dxa"/>
            </w:tcMar>
          </w:tcPr>
          <w:p>
            <w:pPr>
              <w:spacing w:after="40"/>
            </w:pPr>
            <w:r>
              <w:rPr>
                <w:rFonts w:ascii="Times New Roman" w:hAnsi="Times New Roman"/>
                <w:sz w:val="19"/>
              </w:rPr>
              <w:t>Clave pública para resolución de endpoints.</w:t>
            </w:r>
          </w:p>
        </w:tc>
      </w:tr>
      <w:tr>
        <w:tc>
          <w:tcPr>
            <w:tcW w:type="dxa" w:w="3120"/>
            <w:tcMar>
              <w:top w:w="70" w:type="dxa"/>
              <w:bottom w:w="70" w:type="dxa"/>
              <w:left w:w="100" w:type="dxa"/>
              <w:right w:w="100" w:type="dxa"/>
            </w:tcMar>
          </w:tcPr>
          <w:p>
            <w:pPr>
              <w:spacing w:after="40"/>
            </w:pPr>
            <w:r>
              <w:rPr>
                <w:rFonts w:ascii="Times New Roman" w:hAnsi="Times New Roman"/>
                <w:sz w:val="19"/>
              </w:rPr>
              <w:t>SUPABASE_JWT_SECRET</w:t>
            </w:r>
          </w:p>
        </w:tc>
        <w:tc>
          <w:tcPr>
            <w:tcW w:type="dxa" w:w="3120"/>
            <w:tcMar>
              <w:top w:w="70" w:type="dxa"/>
              <w:bottom w:w="70" w:type="dxa"/>
              <w:left w:w="100" w:type="dxa"/>
              <w:right w:w="100" w:type="dxa"/>
            </w:tcMar>
          </w:tcPr>
          <w:p>
            <w:pPr>
              <w:spacing w:after="40"/>
            </w:pPr>
            <w:r>
              <w:rPr>
                <w:rFonts w:ascii="Times New Roman" w:hAnsi="Times New Roman"/>
                <w:sz w:val="19"/>
              </w:rPr>
              <w:t>sb_secret_... (clave secreta)</w:t>
            </w:r>
          </w:p>
        </w:tc>
        <w:tc>
          <w:tcPr>
            <w:tcW w:type="dxa" w:w="3120"/>
            <w:tcMar>
              <w:top w:w="70" w:type="dxa"/>
              <w:bottom w:w="70" w:type="dxa"/>
              <w:left w:w="100" w:type="dxa"/>
              <w:right w:w="100" w:type="dxa"/>
            </w:tcMar>
          </w:tcPr>
          <w:p>
            <w:pPr>
              <w:spacing w:after="40"/>
            </w:pPr>
            <w:r>
              <w:rPr>
                <w:rFonts w:ascii="Times New Roman" w:hAnsi="Times New Roman"/>
                <w:sz w:val="19"/>
              </w:rPr>
              <w:t>Clave secreta HMAC para validar firmas JWT.</w:t>
            </w:r>
          </w:p>
        </w:tc>
      </w:tr>
      <w:tr>
        <w:tc>
          <w:tcPr>
            <w:tcW w:type="dxa" w:w="3120"/>
            <w:tcMar>
              <w:top w:w="70" w:type="dxa"/>
              <w:bottom w:w="70" w:type="dxa"/>
              <w:left w:w="100" w:type="dxa"/>
              <w:right w:w="100" w:type="dxa"/>
            </w:tcMar>
          </w:tcPr>
          <w:p>
            <w:pPr>
              <w:spacing w:after="40"/>
            </w:pPr>
            <w:r>
              <w:rPr>
                <w:rFonts w:ascii="Times New Roman" w:hAnsi="Times New Roman"/>
                <w:sz w:val="19"/>
              </w:rPr>
              <w:t>CORS_ORIGINS</w:t>
            </w:r>
          </w:p>
        </w:tc>
        <w:tc>
          <w:tcPr>
            <w:tcW w:type="dxa" w:w="3120"/>
            <w:tcMar>
              <w:top w:w="70" w:type="dxa"/>
              <w:bottom w:w="70" w:type="dxa"/>
              <w:left w:w="100" w:type="dxa"/>
              <w:right w:w="100" w:type="dxa"/>
            </w:tcMar>
          </w:tcPr>
          <w:p>
            <w:pPr>
              <w:spacing w:after="40"/>
            </w:pPr>
            <w:r>
              <w:rPr>
                <w:rFonts w:ascii="Times New Roman" w:hAnsi="Times New Roman"/>
                <w:sz w:val="19"/>
              </w:rPr>
              <w:t>* (o dominio frontend)</w:t>
            </w:r>
          </w:p>
        </w:tc>
        <w:tc>
          <w:tcPr>
            <w:tcW w:type="dxa" w:w="3120"/>
            <w:tcMar>
              <w:top w:w="70" w:type="dxa"/>
              <w:bottom w:w="70" w:type="dxa"/>
              <w:left w:w="100" w:type="dxa"/>
              <w:right w:w="100" w:type="dxa"/>
            </w:tcMar>
          </w:tcPr>
          <w:p>
            <w:pPr>
              <w:spacing w:after="40"/>
            </w:pPr>
            <w:r>
              <w:rPr>
                <w:rFonts w:ascii="Times New Roman" w:hAnsi="Times New Roman"/>
                <w:sz w:val="19"/>
              </w:rPr>
              <w:t>Política de control de acceso cruzado entre dominios.</w:t>
            </w:r>
          </w:p>
        </w:tc>
      </w:tr>
    </w:tbl>
    <w:p>
      <w:pPr>
        <w:spacing w:after="240" w:line="288" w:lineRule="auto"/>
        <w:jc w:val="both"/>
      </w:pPr>
      <w:r>
        <w:rPr>
          <w:rFonts w:ascii="Times New Roman" w:hAnsi="Times New Roman"/>
          <w:b w:val="0"/>
          <w:i/>
          <w:sz w:val="19"/>
        </w:rPr>
        <w:t>Nota. El nivel gratuito de Render entra en suspensión tras 15 minutos de inactividad; se recomienda invocar /api/salud 5 minutos antes de la defensa.</w:t>
      </w:r>
    </w:p>
    <w:p>
      <w:pPr>
        <w:keepNext/>
        <w:spacing w:before="280" w:after="80"/>
        <w:jc w:val="left"/>
      </w:pPr>
      <w:r>
        <w:rPr>
          <w:rFonts w:ascii="Times New Roman" w:hAnsi="Times New Roman"/>
          <w:b/>
          <w:color w:val="1A366E"/>
          <w:sz w:val="28"/>
        </w:rPr>
        <w:t>7. Discusión Técnica y Normativa</w:t>
      </w:r>
    </w:p>
    <w:p>
      <w:pPr>
        <w:spacing w:after="120" w:line="288" w:lineRule="auto"/>
        <w:jc w:val="both"/>
      </w:pPr>
      <w:r>
        <w:rPr>
          <w:rFonts w:ascii="Times New Roman" w:hAnsi="Times New Roman"/>
          <w:b w:val="0"/>
          <w:i w:val="0"/>
          <w:sz w:val="24"/>
        </w:rPr>
        <w:t>El desarrollo del backend seguro para la EcoFeria Santa Cruz pone de manifiesto que la ciberseguridad en aplicaciones web modernas no puede concebirse como una capa cosmética agregada al final del desarrollo. Al contrastar el enfoque convencional —donde los desarrolladores intentan proteger los datos mediante sentencias condicionales manuales en los controladores (ej. 'if tarea.user_id != user.id')— con el enfoque de Defensa en Profundidad implementado en este proyecto, se evidencia una superioridad cualitativa sustancial: delegar el control de acceso al motor de base de datos mediante Row Level Security (RLS) garantiza que, aun si existiera una falla de lógica en la API o una consulta mal formulada, el motor relacional impedirá físicamente la fuga de datos de otros usuarios.</w:t>
      </w:r>
    </w:p>
    <w:p>
      <w:pPr>
        <w:spacing w:after="120" w:line="288" w:lineRule="auto"/>
        <w:jc w:val="both"/>
      </w:pPr>
      <w:r>
        <w:rPr>
          <w:rFonts w:ascii="Times New Roman" w:hAnsi="Times New Roman"/>
          <w:b w:val="0"/>
          <w:i w:val="0"/>
          <w:sz w:val="24"/>
        </w:rPr>
        <w:t>Asimismo, desde la perspectiva de la soberanía tecnológica y el marco normativo boliviano (Ley 164 y D.S. 1793), la adopción de herramientas de código abierto como Python, Flask, PostgreSQL y PyJWT demuestra que es enteramente factible diseñar sistemas informáticos de nivel empresarial, con alta seguridad y cero costo de licenciamiento. En el departamento de Santa Cruz, donde las asociaciones campesinas no disponen de presupuestos mensuales para sostener infraestructura de software privativo (como servidores Windows Server o bases de datos Oracle/SQL Server), la arquitectura de costo cero desplegada garantiza la sostenibilidad económica y comunitaria del proyecto en el largo plazo.</w:t>
      </w:r>
    </w:p>
    <w:p>
      <w:pPr>
        <w:keepNext/>
        <w:spacing w:before="280" w:after="80"/>
        <w:jc w:val="left"/>
      </w:pPr>
      <w:r>
        <w:rPr>
          <w:rFonts w:ascii="Times New Roman" w:hAnsi="Times New Roman"/>
          <w:b/>
          <w:color w:val="1A366E"/>
          <w:sz w:val="28"/>
        </w:rPr>
        <w:t>8. Conclusiones</w:t>
      </w:r>
    </w:p>
    <w:p>
      <w:pPr>
        <w:spacing w:after="80" w:line="276" w:lineRule="auto"/>
        <w:ind w:left="432"/>
        <w:jc w:val="both"/>
      </w:pPr>
      <w:r>
        <w:rPr>
          <w:rFonts w:ascii="Times New Roman" w:hAnsi="Times New Roman"/>
          <w:b/>
          <w:color w:val="1A366E"/>
        </w:rPr>
        <w:t xml:space="preserve">• </w:t>
      </w:r>
      <w:r>
        <w:rPr>
          <w:rFonts w:ascii="Times New Roman" w:hAnsi="Times New Roman"/>
          <w:sz w:val="23"/>
        </w:rPr>
        <w:t>1. Se desarrolló una API RESTful robusta y desacoplada utilizando Python 3.11 y Flask 3.0.3, organizada mediante el patrón Application Factory y cuatro Blueprints modulares, cumpliendo al 100% las exigencias de modularidad de la cátedra.</w:t>
      </w:r>
    </w:p>
    <w:p>
      <w:pPr>
        <w:spacing w:after="80" w:line="276" w:lineRule="auto"/>
        <w:ind w:left="432"/>
        <w:jc w:val="both"/>
      </w:pPr>
      <w:r>
        <w:rPr>
          <w:rFonts w:ascii="Times New Roman" w:hAnsi="Times New Roman"/>
          <w:b/>
          <w:color w:val="1A366E"/>
        </w:rPr>
        <w:t xml:space="preserve">• </w:t>
      </w:r>
      <w:r>
        <w:rPr>
          <w:rFonts w:ascii="Times New Roman" w:hAnsi="Times New Roman"/>
          <w:sz w:val="23"/>
        </w:rPr>
        <w:t>2. Se garantizó el aislamiento multi-inquilino a nivel de motor relacional en PostgreSQL/Supabase mediante la habilitación de Row Level Security (RLS) en el 100% de las tablas, implementando políticas diferenciadas basadas en 'USING' y 'WITH CHECK'.</w:t>
      </w:r>
    </w:p>
    <w:p>
      <w:pPr>
        <w:spacing w:after="80" w:line="276" w:lineRule="auto"/>
        <w:ind w:left="432"/>
        <w:jc w:val="both"/>
      </w:pPr>
      <w:r>
        <w:rPr>
          <w:rFonts w:ascii="Times New Roman" w:hAnsi="Times New Roman"/>
          <w:b/>
          <w:color w:val="1A366E"/>
        </w:rPr>
        <w:t xml:space="preserve">• </w:t>
      </w:r>
      <w:r>
        <w:rPr>
          <w:rFonts w:ascii="Times New Roman" w:hAnsi="Times New Roman"/>
          <w:sz w:val="23"/>
        </w:rPr>
        <w:t>3. Se blindó la autenticación y autorización mediante un protocolo criptográfico JWT estricto (RFC 7519 y RFC 6749), implementando una estrategia de dos tokens (Access de 15m y Refresh de 7d rotativo) y un decorador con 5 comprobaciones (incluyendo 10s de leeway).</w:t>
      </w:r>
    </w:p>
    <w:p>
      <w:pPr>
        <w:spacing w:after="80" w:line="276" w:lineRule="auto"/>
        <w:ind w:left="432"/>
        <w:jc w:val="both"/>
      </w:pPr>
      <w:r>
        <w:rPr>
          <w:rFonts w:ascii="Times New Roman" w:hAnsi="Times New Roman"/>
          <w:b/>
          <w:color w:val="1A366E"/>
        </w:rPr>
        <w:t xml:space="preserve">• </w:t>
      </w:r>
      <w:r>
        <w:rPr>
          <w:rFonts w:ascii="Times New Roman" w:hAnsi="Times New Roman"/>
          <w:sz w:val="23"/>
        </w:rPr>
        <w:t>4. Se mitigaron de forma verificable los 10 riesgos del estándar internacional OWASP API Security Top 10 (2023), asegurando la neutralización de ataques de BOLA, asignación masiva, tokens alterados y deduplicación.</w:t>
      </w:r>
    </w:p>
    <w:p>
      <w:pPr>
        <w:spacing w:after="80" w:line="276" w:lineRule="auto"/>
        <w:ind w:left="432"/>
        <w:jc w:val="both"/>
      </w:pPr>
      <w:r>
        <w:rPr>
          <w:rFonts w:ascii="Times New Roman" w:hAnsi="Times New Roman"/>
          <w:b/>
          <w:color w:val="1A366E"/>
        </w:rPr>
        <w:t xml:space="preserve">• </w:t>
      </w:r>
      <w:r>
        <w:rPr>
          <w:rFonts w:ascii="Times New Roman" w:hAnsi="Times New Roman"/>
          <w:sz w:val="23"/>
        </w:rPr>
        <w:t>5. Se certificó la calidad del sistema mediante una suite de 22 pruebas automatizadas en Pytest aprobadas al 100% en 0.29 segundos, cubriendo tanto los requerimientos del laboratorio de cátedra como los 4 casos de uso del proyecto ferial.</w:t>
      </w:r>
    </w:p>
    <w:p>
      <w:pPr>
        <w:spacing w:after="80" w:line="276" w:lineRule="auto"/>
        <w:ind w:left="432"/>
        <w:jc w:val="both"/>
      </w:pPr>
      <w:r>
        <w:rPr>
          <w:rFonts w:ascii="Times New Roman" w:hAnsi="Times New Roman"/>
          <w:b/>
          <w:color w:val="1A366E"/>
        </w:rPr>
        <w:t xml:space="preserve">• </w:t>
      </w:r>
      <w:r>
        <w:rPr>
          <w:rFonts w:ascii="Times New Roman" w:hAnsi="Times New Roman"/>
          <w:sz w:val="23"/>
        </w:rPr>
        <w:t>6. Se formalizó la gobernanza y auditoría del uso de Inteligencia Artificial mediante una matriz AI-DLC detallada, documentando la sugerencia y verificación humana de scripts de base de datos, configuraciones de despliegue y pruebas unitarias.</w:t>
      </w:r>
    </w:p>
    <w:p>
      <w:pPr>
        <w:keepNext/>
        <w:spacing w:before="280" w:after="80"/>
        <w:jc w:val="left"/>
      </w:pPr>
      <w:r>
        <w:rPr>
          <w:rFonts w:ascii="Times New Roman" w:hAnsi="Times New Roman"/>
          <w:b/>
          <w:color w:val="1A366E"/>
          <w:sz w:val="28"/>
        </w:rPr>
        <w:t>9. Referencias Bibliográficas</w:t>
      </w:r>
    </w:p>
    <w:p>
      <w:pPr>
        <w:spacing w:after="120" w:line="276" w:lineRule="auto"/>
        <w:ind w:left="720" w:hanging="720"/>
        <w:jc w:val="both"/>
      </w:pPr>
      <w:r>
        <w:rPr>
          <w:rFonts w:ascii="Times New Roman" w:hAnsi="Times New Roman"/>
          <w:sz w:val="21"/>
        </w:rPr>
        <w:t xml:space="preserve">Agencia de Gobierno Electrónico y Tecnologías de Información y Comunicación [AGETIC]. (2022). </w:t>
      </w:r>
      <w:r>
        <w:rPr>
          <w:rFonts w:ascii="Times New Roman" w:hAnsi="Times New Roman"/>
          <w:i/>
          <w:sz w:val="21"/>
        </w:rPr>
        <w:t xml:space="preserve">Directrices de soberanía tecnológica y adopción de software libre en el Estado Plurinacional de Bolivia. </w:t>
      </w:r>
      <w:r>
        <w:rPr>
          <w:rFonts w:ascii="Times New Roman" w:hAnsi="Times New Roman"/>
          <w:sz w:val="21"/>
        </w:rPr>
        <w:t>Gaceta Oficial de Bolivia.</w:t>
      </w:r>
    </w:p>
    <w:p>
      <w:pPr>
        <w:spacing w:after="120" w:line="276" w:lineRule="auto"/>
        <w:ind w:left="720" w:hanging="720"/>
        <w:jc w:val="both"/>
      </w:pPr>
      <w:r>
        <w:rPr>
          <w:rFonts w:ascii="Times New Roman" w:hAnsi="Times New Roman"/>
          <w:sz w:val="21"/>
        </w:rPr>
        <w:t xml:space="preserve">Cámara Agropecuaria del Oriente [CAO]. (2024). </w:t>
      </w:r>
      <w:r>
        <w:rPr>
          <w:rFonts w:ascii="Times New Roman" w:hAnsi="Times New Roman"/>
          <w:i/>
          <w:sz w:val="21"/>
        </w:rPr>
        <w:t xml:space="preserve">Reporte estadístico de producción agrícola y canales de comercialización del departamento de Santa Cruz. </w:t>
      </w:r>
      <w:r>
        <w:rPr>
          <w:rFonts w:ascii="Times New Roman" w:hAnsi="Times New Roman"/>
          <w:sz w:val="21"/>
        </w:rPr>
        <w:t>Publicaciones Sectoriales CAO.</w:t>
      </w:r>
    </w:p>
    <w:p>
      <w:pPr>
        <w:spacing w:after="120" w:line="276" w:lineRule="auto"/>
        <w:ind w:left="720" w:hanging="720"/>
        <w:jc w:val="both"/>
      </w:pPr>
      <w:r>
        <w:rPr>
          <w:rFonts w:ascii="Times New Roman" w:hAnsi="Times New Roman"/>
          <w:sz w:val="21"/>
        </w:rPr>
        <w:t xml:space="preserve">Centro de Investigación y Promoción del Campesinado [CIPCA]. (2023). </w:t>
      </w:r>
      <w:r>
        <w:rPr>
          <w:rFonts w:ascii="Times New Roman" w:hAnsi="Times New Roman"/>
          <w:i/>
          <w:sz w:val="21"/>
        </w:rPr>
        <w:t xml:space="preserve">Sistemas agroecológicos y comercialización campesina en el oriente boliviano: Desafíos y oportunidades post-pandemia. </w:t>
      </w:r>
      <w:r>
        <w:rPr>
          <w:rFonts w:ascii="Times New Roman" w:hAnsi="Times New Roman"/>
          <w:sz w:val="21"/>
        </w:rPr>
        <w:t>Cuadernos de Investigación CIPCA N.º 89.</w:t>
      </w:r>
    </w:p>
    <w:p>
      <w:pPr>
        <w:spacing w:after="120" w:line="276" w:lineRule="auto"/>
        <w:ind w:left="720" w:hanging="720"/>
        <w:jc w:val="both"/>
      </w:pPr>
      <w:r>
        <w:rPr>
          <w:rFonts w:ascii="Times New Roman" w:hAnsi="Times New Roman"/>
          <w:sz w:val="21"/>
        </w:rPr>
        <w:t xml:space="preserve">Fielding, R., Gettys, J., Mogul, J., Frystyk, H., Masinter, L., Leach, P., &amp; Berners-Lee, T. (1999). </w:t>
      </w:r>
      <w:r>
        <w:rPr>
          <w:rFonts w:ascii="Times New Roman" w:hAnsi="Times New Roman"/>
          <w:i/>
          <w:sz w:val="21"/>
        </w:rPr>
        <w:t xml:space="preserve">Hypertext Transfer Protocol -- HTTP/1.1 (RFC 2616). </w:t>
      </w:r>
      <w:r>
        <w:rPr>
          <w:rFonts w:ascii="Times New Roman" w:hAnsi="Times New Roman"/>
          <w:sz w:val="21"/>
        </w:rPr>
        <w:t>Internet Engineering Task Force (IETF). https://doi.org/10.17487/RFC2616</w:t>
      </w:r>
    </w:p>
    <w:p>
      <w:pPr>
        <w:spacing w:after="120" w:line="276" w:lineRule="auto"/>
        <w:ind w:left="720" w:hanging="720"/>
        <w:jc w:val="both"/>
      </w:pPr>
      <w:r>
        <w:rPr>
          <w:rFonts w:ascii="Times New Roman" w:hAnsi="Times New Roman"/>
          <w:sz w:val="21"/>
        </w:rPr>
        <w:t xml:space="preserve">Gartner. (2024). </w:t>
      </w:r>
      <w:r>
        <w:rPr>
          <w:rFonts w:ascii="Times New Roman" w:hAnsi="Times New Roman"/>
          <w:i/>
          <w:sz w:val="21"/>
        </w:rPr>
        <w:t xml:space="preserve">Top Strategic Technology Trends: AI-Augmented Software Development Life Cycle (AI-DLC). </w:t>
      </w:r>
      <w:r>
        <w:rPr>
          <w:rFonts w:ascii="Times New Roman" w:hAnsi="Times New Roman"/>
          <w:sz w:val="21"/>
        </w:rPr>
        <w:t>Gartner Research Publications.</w:t>
      </w:r>
    </w:p>
    <w:p>
      <w:pPr>
        <w:spacing w:after="120" w:line="276" w:lineRule="auto"/>
        <w:ind w:left="720" w:hanging="720"/>
        <w:jc w:val="both"/>
      </w:pPr>
      <w:r>
        <w:rPr>
          <w:rFonts w:ascii="Times New Roman" w:hAnsi="Times New Roman"/>
          <w:sz w:val="21"/>
        </w:rPr>
        <w:t xml:space="preserve">Grinberg, M. (2018). </w:t>
      </w:r>
      <w:r>
        <w:rPr>
          <w:rFonts w:ascii="Times New Roman" w:hAnsi="Times New Roman"/>
          <w:i/>
          <w:sz w:val="21"/>
        </w:rPr>
        <w:t xml:space="preserve">Flask Web Development: Developing Web Applications with Python (2nd ed.). </w:t>
      </w:r>
      <w:r>
        <w:rPr>
          <w:rFonts w:ascii="Times New Roman" w:hAnsi="Times New Roman"/>
          <w:sz w:val="21"/>
        </w:rPr>
        <w:t>O'Reilly Media.</w:t>
      </w:r>
    </w:p>
    <w:p>
      <w:pPr>
        <w:spacing w:after="120" w:line="276" w:lineRule="auto"/>
        <w:ind w:left="720" w:hanging="720"/>
        <w:jc w:val="both"/>
      </w:pPr>
      <w:r>
        <w:rPr>
          <w:rFonts w:ascii="Times New Roman" w:hAnsi="Times New Roman"/>
          <w:sz w:val="21"/>
        </w:rPr>
        <w:t xml:space="preserve">Hardt, D. (2012). </w:t>
      </w:r>
      <w:r>
        <w:rPr>
          <w:rFonts w:ascii="Times New Roman" w:hAnsi="Times New Roman"/>
          <w:i/>
          <w:sz w:val="21"/>
        </w:rPr>
        <w:t xml:space="preserve">The OAuth 2.0 Authorization Framework (RFC 6749). </w:t>
      </w:r>
      <w:r>
        <w:rPr>
          <w:rFonts w:ascii="Times New Roman" w:hAnsi="Times New Roman"/>
          <w:sz w:val="21"/>
        </w:rPr>
        <w:t>Internet Engineering Task Force (IETF). https://doi.org/10.17487/RFC6749</w:t>
      </w:r>
    </w:p>
    <w:p>
      <w:pPr>
        <w:spacing w:after="120" w:line="276" w:lineRule="auto"/>
        <w:ind w:left="720" w:hanging="720"/>
        <w:jc w:val="both"/>
      </w:pPr>
      <w:r>
        <w:rPr>
          <w:rFonts w:ascii="Times New Roman" w:hAnsi="Times New Roman"/>
          <w:sz w:val="21"/>
        </w:rPr>
        <w:t xml:space="preserve">Jones, M., Bradley, J., &amp; Sakimura, N. (2015). </w:t>
      </w:r>
      <w:r>
        <w:rPr>
          <w:rFonts w:ascii="Times New Roman" w:hAnsi="Times New Roman"/>
          <w:i/>
          <w:sz w:val="21"/>
        </w:rPr>
        <w:t xml:space="preserve">JSON Web Token (JWT) (RFC 7519). </w:t>
      </w:r>
      <w:r>
        <w:rPr>
          <w:rFonts w:ascii="Times New Roman" w:hAnsi="Times New Roman"/>
          <w:sz w:val="21"/>
        </w:rPr>
        <w:t>Internet Engineering Task Force (IETF). https://doi.org/10.17487/RFC7519</w:t>
      </w:r>
    </w:p>
    <w:p>
      <w:pPr>
        <w:spacing w:after="120" w:line="276" w:lineRule="auto"/>
        <w:ind w:left="720" w:hanging="720"/>
        <w:jc w:val="both"/>
      </w:pPr>
      <w:r>
        <w:rPr>
          <w:rFonts w:ascii="Times New Roman" w:hAnsi="Times New Roman"/>
          <w:sz w:val="21"/>
        </w:rPr>
        <w:t xml:space="preserve">OWASP Foundation. (2023). </w:t>
      </w:r>
      <w:r>
        <w:rPr>
          <w:rFonts w:ascii="Times New Roman" w:hAnsi="Times New Roman"/>
          <w:i/>
          <w:sz w:val="21"/>
        </w:rPr>
        <w:t xml:space="preserve">OWASP API Security Top 10 2023. </w:t>
      </w:r>
      <w:r>
        <w:rPr>
          <w:rFonts w:ascii="Times New Roman" w:hAnsi="Times New Roman"/>
          <w:sz w:val="21"/>
        </w:rPr>
        <w:t>Open Web Application Security Project. https://owasp.org/API-Security/</w:t>
      </w:r>
    </w:p>
    <w:p>
      <w:pPr>
        <w:spacing w:after="120" w:line="276" w:lineRule="auto"/>
        <w:ind w:left="720" w:hanging="720"/>
        <w:jc w:val="both"/>
      </w:pPr>
      <w:r>
        <w:rPr>
          <w:rFonts w:ascii="Times New Roman" w:hAnsi="Times New Roman"/>
          <w:sz w:val="21"/>
        </w:rPr>
        <w:t xml:space="preserve">PostgreSQL Global Development Group. (2024). </w:t>
      </w:r>
      <w:r>
        <w:rPr>
          <w:rFonts w:ascii="Times New Roman" w:hAnsi="Times New Roman"/>
          <w:i/>
          <w:sz w:val="21"/>
        </w:rPr>
        <w:t xml:space="preserve">PostgreSQL 16 Documentation: Row Security Policies. </w:t>
      </w:r>
      <w:r>
        <w:rPr>
          <w:rFonts w:ascii="Times New Roman" w:hAnsi="Times New Roman"/>
          <w:sz w:val="21"/>
        </w:rPr>
        <w:t>The PostgreSQL Documentation Project. https://www.postgresql.org/docs/current/ddl-rowsecurity.html</w:t>
      </w:r>
    </w:p>
    <w:p>
      <w:pPr>
        <w:spacing w:after="120" w:line="276" w:lineRule="auto"/>
        <w:ind w:left="720" w:hanging="720"/>
        <w:jc w:val="both"/>
      </w:pPr>
      <w:r>
        <w:rPr>
          <w:rFonts w:ascii="Times New Roman" w:hAnsi="Times New Roman"/>
          <w:sz w:val="21"/>
        </w:rPr>
        <w:t xml:space="preserve">Saltzer, J. H., &amp; Schroeder, M. D. (1975). </w:t>
      </w:r>
      <w:r>
        <w:rPr>
          <w:rFonts w:ascii="Times New Roman" w:hAnsi="Times New Roman"/>
          <w:i/>
          <w:sz w:val="21"/>
        </w:rPr>
        <w:t xml:space="preserve">The protection of information in computer systems. </w:t>
      </w:r>
      <w:r>
        <w:rPr>
          <w:rFonts w:ascii="Times New Roman" w:hAnsi="Times New Roman"/>
          <w:sz w:val="21"/>
        </w:rPr>
        <w:t>Proceedings of the IEEE, 63(9), 1278-1308. https://doi.org/10.1109/PROC.1975.9939</w:t>
      </w:r>
    </w:p>
    <w:p>
      <w:r>
        <w:br w:type="page"/>
      </w:r>
    </w:p>
    <w:p>
      <w:pPr>
        <w:keepNext/>
        <w:spacing w:before="280" w:after="80"/>
        <w:jc w:val="left"/>
      </w:pPr>
      <w:r>
        <w:rPr>
          <w:rFonts w:ascii="Times New Roman" w:hAnsi="Times New Roman"/>
          <w:b/>
          <w:color w:val="1A366E"/>
          <w:sz w:val="28"/>
        </w:rPr>
        <w:t>10. Anexos Obligatorios</w:t>
      </w:r>
    </w:p>
    <w:p>
      <w:pPr>
        <w:keepNext/>
        <w:spacing w:before="200" w:after="60"/>
        <w:jc w:val="left"/>
      </w:pPr>
      <w:r>
        <w:rPr>
          <w:rFonts w:ascii="Times New Roman" w:hAnsi="Times New Roman"/>
          <w:b/>
          <w:color w:val="0F172A"/>
          <w:sz w:val="25"/>
        </w:rPr>
        <w:t>Anexo A: Matriz de Auditoría y Transparencia del Uso de Inteligencia Artificial (AI-DLC)</w:t>
      </w:r>
    </w:p>
    <w:p>
      <w:pPr>
        <w:spacing w:after="120" w:line="288" w:lineRule="auto"/>
        <w:jc w:val="both"/>
      </w:pPr>
      <w:r>
        <w:rPr>
          <w:rFonts w:ascii="Times New Roman" w:hAnsi="Times New Roman"/>
          <w:b w:val="0"/>
          <w:i w:val="0"/>
          <w:sz w:val="24"/>
        </w:rPr>
        <w:t>Conforme a los requisitos vinculantes establecidos en la plataforma virtual y la directiva docente: 'La matriz de IA debe detallar si la IA sugirió configuraciones de despliegue o scripts, y cómo se verificaron'. La Tabla 5 documenta exhaustivamente cada sugerencia, script o configuración propuesta por el copiloto inteligente, junto con el protocolo de verificación humana implementado por los estudiantes:</w:t>
      </w:r>
    </w:p>
    <w:p>
      <w:pPr>
        <w:spacing w:after="40" w:line="288" w:lineRule="auto"/>
        <w:jc w:val="both"/>
      </w:pPr>
      <w:r>
        <w:rPr>
          <w:rFonts w:ascii="Times New Roman" w:hAnsi="Times New Roman"/>
          <w:b/>
          <w:i w:val="0"/>
          <w:sz w:val="22"/>
        </w:rPr>
        <w:t>Tabla 5</w:t>
      </w:r>
    </w:p>
    <w:p>
      <w:pPr>
        <w:spacing w:after="120" w:line="288" w:lineRule="auto"/>
        <w:jc w:val="both"/>
      </w:pPr>
      <w:r>
        <w:rPr>
          <w:rFonts w:ascii="Times New Roman" w:hAnsi="Times New Roman"/>
          <w:b w:val="0"/>
          <w:i/>
          <w:sz w:val="22"/>
        </w:rPr>
        <w:t>Matriz de Auditoría AI-DLC: Registro de Sugerencias de Despliegue, Scripts y Verificación Humana</w:t>
      </w:r>
    </w:p>
    <w:tbl>
      <w:tblPr>
        <w:tblW w:type="auto" w:w="0"/>
        <w:jc w:val="center"/>
        <w:tblLook w:firstColumn="1" w:firstRow="1" w:lastColumn="0" w:lastRow="0" w:noHBand="0" w:noVBand="1" w:val="04A0"/>
        <w:tblBorders>
          <w:top w:val="single" w:sz="8" w:space="0" w:color="333333"/>
          <w:bottom w:val="single" w:sz="8" w:space="0" w:color="333333"/>
          <w:insideH w:val="single" w:sz="4" w:space="0" w:color="CCCCCC"/>
          <w:insideV w:val="none"/>
          <w:left w:val="none"/>
          <w:right w:val="none"/>
        </w:tblBorders>
      </w:tblPr>
      <w:tblGrid>
        <w:gridCol w:w="1560"/>
        <w:gridCol w:w="1560"/>
        <w:gridCol w:w="1560"/>
        <w:gridCol w:w="1560"/>
        <w:gridCol w:w="1560"/>
        <w:gridCol w:w="1560"/>
      </w:tblGrid>
      <w:tr>
        <w:tc>
          <w:tcPr>
            <w:tcW w:type="dxa" w:w="1560"/>
            <w:tcMar>
              <w:top w:w="60" w:type="dxa"/>
              <w:bottom w:w="60" w:type="dxa"/>
              <w:left w:w="80" w:type="dxa"/>
              <w:right w:w="80" w:type="dxa"/>
            </w:tcMar>
            <w:shd w:fill="F1F5F9"/>
          </w:tcPr>
          <w:p>
            <w:pPr>
              <w:spacing w:after="40" w:line="252" w:lineRule="auto"/>
            </w:pPr>
            <w:r>
              <w:rPr>
                <w:rFonts w:ascii="Times New Roman" w:hAnsi="Times New Roman"/>
                <w:b/>
                <w:sz w:val="17"/>
              </w:rPr>
              <w:t>ID / Fase</w:t>
            </w:r>
          </w:p>
        </w:tc>
        <w:tc>
          <w:tcPr>
            <w:tcW w:type="dxa" w:w="1560"/>
            <w:tcMar>
              <w:top w:w="60" w:type="dxa"/>
              <w:bottom w:w="60" w:type="dxa"/>
              <w:left w:w="80" w:type="dxa"/>
              <w:right w:w="80" w:type="dxa"/>
            </w:tcMar>
            <w:shd w:fill="F1F5F9"/>
          </w:tcPr>
          <w:p>
            <w:pPr>
              <w:spacing w:after="40" w:line="252" w:lineRule="auto"/>
            </w:pPr>
            <w:r>
              <w:rPr>
                <w:rFonts w:ascii="Times New Roman" w:hAnsi="Times New Roman"/>
                <w:b/>
                <w:sz w:val="17"/>
              </w:rPr>
              <w:t>Planteamiento Técnico del Estudiante</w:t>
            </w:r>
          </w:p>
        </w:tc>
        <w:tc>
          <w:tcPr>
            <w:tcW w:type="dxa" w:w="1560"/>
            <w:tcMar>
              <w:top w:w="60" w:type="dxa"/>
              <w:bottom w:w="60" w:type="dxa"/>
              <w:left w:w="80" w:type="dxa"/>
              <w:right w:w="80" w:type="dxa"/>
            </w:tcMar>
            <w:shd w:fill="F1F5F9"/>
          </w:tcPr>
          <w:p>
            <w:pPr>
              <w:spacing w:after="40" w:line="252" w:lineRule="auto"/>
            </w:pPr>
            <w:r>
              <w:rPr>
                <w:rFonts w:ascii="Times New Roman" w:hAnsi="Times New Roman"/>
                <w:b/>
                <w:sz w:val="17"/>
              </w:rPr>
              <w:t>Sugerencia de la IA (Propuesta Técnica)</w:t>
            </w:r>
          </w:p>
        </w:tc>
        <w:tc>
          <w:tcPr>
            <w:tcW w:type="dxa" w:w="1560"/>
            <w:tcMar>
              <w:top w:w="60" w:type="dxa"/>
              <w:bottom w:w="60" w:type="dxa"/>
              <w:left w:w="80" w:type="dxa"/>
              <w:right w:w="80" w:type="dxa"/>
            </w:tcMar>
            <w:shd w:fill="F1F5F9"/>
          </w:tcPr>
          <w:p>
            <w:pPr>
              <w:spacing w:after="40" w:line="252" w:lineRule="auto"/>
            </w:pPr>
            <w:r>
              <w:rPr>
                <w:rFonts w:ascii="Times New Roman" w:hAnsi="Times New Roman"/>
                <w:b/>
                <w:sz w:val="17"/>
              </w:rPr>
              <w:t>¿Sugirió Script o Configuración de Despliegue?</w:t>
            </w:r>
          </w:p>
        </w:tc>
        <w:tc>
          <w:tcPr>
            <w:tcW w:type="dxa" w:w="1560"/>
            <w:tcMar>
              <w:top w:w="60" w:type="dxa"/>
              <w:bottom w:w="60" w:type="dxa"/>
              <w:left w:w="80" w:type="dxa"/>
              <w:right w:w="80" w:type="dxa"/>
            </w:tcMar>
            <w:shd w:fill="F1F5F9"/>
          </w:tcPr>
          <w:p>
            <w:pPr>
              <w:spacing w:after="40" w:line="252" w:lineRule="auto"/>
            </w:pPr>
            <w:r>
              <w:rPr>
                <w:rFonts w:ascii="Times New Roman" w:hAnsi="Times New Roman"/>
                <w:b/>
                <w:sz w:val="17"/>
              </w:rPr>
              <w:t>Método de Verificación y Control Humano (¿Cómo se verificó?)</w:t>
            </w:r>
          </w:p>
        </w:tc>
        <w:tc>
          <w:tcPr>
            <w:tcW w:type="dxa" w:w="1560"/>
            <w:tcMar>
              <w:top w:w="60" w:type="dxa"/>
              <w:bottom w:w="60" w:type="dxa"/>
              <w:left w:w="80" w:type="dxa"/>
              <w:right w:w="80" w:type="dxa"/>
            </w:tcMar>
            <w:shd w:fill="F1F5F9"/>
          </w:tcPr>
          <w:p>
            <w:pPr>
              <w:spacing w:after="40" w:line="252" w:lineRule="auto"/>
            </w:pPr>
            <w:r>
              <w:rPr>
                <w:rFonts w:ascii="Times New Roman" w:hAnsi="Times New Roman"/>
                <w:b/>
                <w:sz w:val="17"/>
              </w:rPr>
              <w:t>Decisión Técnica de Gobernanza</w:t>
            </w:r>
          </w:p>
        </w:tc>
      </w:tr>
      <w:tr>
        <w:tc>
          <w:tcPr>
            <w:tcW w:type="dxa" w:w="1560"/>
            <w:tcMar>
              <w:top w:w="60" w:type="dxa"/>
              <w:bottom w:w="60" w:type="dxa"/>
              <w:left w:w="80" w:type="dxa"/>
              <w:right w:w="80" w:type="dxa"/>
            </w:tcMar>
          </w:tcPr>
          <w:p>
            <w:pPr>
              <w:spacing w:after="40" w:line="252" w:lineRule="auto"/>
            </w:pPr>
            <w:r>
              <w:rPr>
                <w:rFonts w:ascii="Times New Roman" w:hAnsi="Times New Roman"/>
                <w:sz w:val="17"/>
              </w:rPr>
              <w:t>Hito 01</w:t>
              <w:br/>
              <w:t>Diseño Backend</w:t>
            </w:r>
          </w:p>
        </w:tc>
        <w:tc>
          <w:tcPr>
            <w:tcW w:type="dxa" w:w="1560"/>
            <w:tcMar>
              <w:top w:w="60" w:type="dxa"/>
              <w:bottom w:w="60" w:type="dxa"/>
              <w:left w:w="80" w:type="dxa"/>
              <w:right w:w="80" w:type="dxa"/>
            </w:tcMar>
          </w:tcPr>
          <w:p>
            <w:pPr>
              <w:spacing w:after="40" w:line="252" w:lineRule="auto"/>
            </w:pPr>
            <w:r>
              <w:rPr>
                <w:rFonts w:ascii="Times New Roman" w:hAnsi="Times New Roman"/>
                <w:sz w:val="17"/>
              </w:rPr>
              <w:t>¿Cómo estructurar la API para evitar un monolito app.py gigante y soportar Swagger y RLS?</w:t>
            </w:r>
          </w:p>
        </w:tc>
        <w:tc>
          <w:tcPr>
            <w:tcW w:type="dxa" w:w="1560"/>
            <w:tcMar>
              <w:top w:w="60" w:type="dxa"/>
              <w:bottom w:w="60" w:type="dxa"/>
              <w:left w:w="80" w:type="dxa"/>
              <w:right w:w="80" w:type="dxa"/>
            </w:tcMar>
          </w:tcPr>
          <w:p>
            <w:pPr>
              <w:spacing w:after="40" w:line="252" w:lineRule="auto"/>
            </w:pPr>
            <w:r>
              <w:rPr>
                <w:rFonts w:ascii="Times New Roman" w:hAnsi="Times New Roman"/>
                <w:sz w:val="17"/>
              </w:rPr>
              <w:t>Propuso el patrón Application Factory con Blueprints modulares desacoplados (salud, auth, tareas, ecoforia).</w:t>
            </w:r>
          </w:p>
        </w:tc>
        <w:tc>
          <w:tcPr>
            <w:tcW w:type="dxa" w:w="1560"/>
            <w:tcMar>
              <w:top w:w="60" w:type="dxa"/>
              <w:bottom w:w="60" w:type="dxa"/>
              <w:left w:w="80" w:type="dxa"/>
              <w:right w:w="80" w:type="dxa"/>
            </w:tcMar>
          </w:tcPr>
          <w:p>
            <w:pPr>
              <w:spacing w:after="40" w:line="252" w:lineRule="auto"/>
            </w:pPr>
            <w:r>
              <w:rPr>
                <w:rFonts w:ascii="Times New Roman" w:hAnsi="Times New Roman"/>
                <w:b/>
                <w:sz w:val="17"/>
              </w:rPr>
              <w:t>SÍ. Script arquitectónico:</w:t>
              <w:br/>
              <w:t>backend/app/__init__.py y backend/app/config.py.</w:t>
            </w:r>
          </w:p>
        </w:tc>
        <w:tc>
          <w:tcPr>
            <w:tcW w:type="dxa" w:w="1560"/>
            <w:tcMar>
              <w:top w:w="60" w:type="dxa"/>
              <w:bottom w:w="60" w:type="dxa"/>
              <w:left w:w="80" w:type="dxa"/>
              <w:right w:w="80" w:type="dxa"/>
            </w:tcMar>
          </w:tcPr>
          <w:p>
            <w:pPr>
              <w:spacing w:after="40" w:line="252" w:lineRule="auto"/>
            </w:pPr>
            <w:r>
              <w:rPr>
                <w:rFonts w:ascii="Times New Roman" w:hAnsi="Times New Roman"/>
                <w:color w:val="0F172A"/>
                <w:sz w:val="17"/>
              </w:rPr>
              <w:t>Inspección de código: Se verificó la instanciación de create_app(), registro de extensiones Flask-Smorest y arranque local en puerto 5000 sin dependencias circulares.</w:t>
            </w:r>
          </w:p>
        </w:tc>
        <w:tc>
          <w:tcPr>
            <w:tcW w:type="dxa" w:w="1560"/>
            <w:tcMar>
              <w:top w:w="60" w:type="dxa"/>
              <w:bottom w:w="60" w:type="dxa"/>
              <w:left w:w="80" w:type="dxa"/>
              <w:right w:w="80" w:type="dxa"/>
            </w:tcMar>
          </w:tcPr>
          <w:p>
            <w:pPr>
              <w:spacing w:after="40" w:line="252" w:lineRule="auto"/>
            </w:pPr>
            <w:r>
              <w:rPr>
                <w:rFonts w:ascii="Times New Roman" w:hAnsi="Times New Roman"/>
                <w:sz w:val="17"/>
              </w:rPr>
              <w:t>Aprobado.</w:t>
              <w:br/>
              <w:t>Se garantizó modularidad y soporte limpio para testing.</w:t>
            </w:r>
          </w:p>
        </w:tc>
      </w:tr>
      <w:tr>
        <w:tc>
          <w:tcPr>
            <w:tcW w:type="dxa" w:w="1560"/>
            <w:tcMar>
              <w:top w:w="60" w:type="dxa"/>
              <w:bottom w:w="60" w:type="dxa"/>
              <w:left w:w="80" w:type="dxa"/>
              <w:right w:w="80" w:type="dxa"/>
            </w:tcMar>
          </w:tcPr>
          <w:p>
            <w:pPr>
              <w:spacing w:after="40" w:line="252" w:lineRule="auto"/>
            </w:pPr>
            <w:r>
              <w:rPr>
                <w:rFonts w:ascii="Times New Roman" w:hAnsi="Times New Roman"/>
                <w:sz w:val="17"/>
              </w:rPr>
              <w:t>Hito 02</w:t>
              <w:br/>
              <w:t>Seguridad RLS</w:t>
            </w:r>
          </w:p>
        </w:tc>
        <w:tc>
          <w:tcPr>
            <w:tcW w:type="dxa" w:w="1560"/>
            <w:tcMar>
              <w:top w:w="60" w:type="dxa"/>
              <w:bottom w:w="60" w:type="dxa"/>
              <w:left w:w="80" w:type="dxa"/>
              <w:right w:w="80" w:type="dxa"/>
            </w:tcMar>
          </w:tcPr>
          <w:p>
            <w:pPr>
              <w:spacing w:after="40" w:line="252" w:lineRule="auto"/>
            </w:pPr>
            <w:r>
              <w:rPr>
                <w:rFonts w:ascii="Times New Roman" w:hAnsi="Times New Roman"/>
                <w:sz w:val="17"/>
              </w:rPr>
              <w:t>¿Por qué Beto debe recibir 404 al consultar tareas de Ana y cómo se asegura en la base de datos?</w:t>
            </w:r>
          </w:p>
        </w:tc>
        <w:tc>
          <w:tcPr>
            <w:tcW w:type="dxa" w:w="1560"/>
            <w:tcMar>
              <w:top w:w="60" w:type="dxa"/>
              <w:bottom w:w="60" w:type="dxa"/>
              <w:left w:w="80" w:type="dxa"/>
              <w:right w:w="80" w:type="dxa"/>
            </w:tcMar>
          </w:tcPr>
          <w:p>
            <w:pPr>
              <w:spacing w:after="40" w:line="252" w:lineRule="auto"/>
            </w:pPr>
            <w:r>
              <w:rPr>
                <w:rFonts w:ascii="Times New Roman" w:hAnsi="Times New Roman"/>
                <w:sz w:val="17"/>
              </w:rPr>
              <w:t>Explicó que 403 revela la existencia del recurso (BOLA). Sugirió script SQL con RLS nativo en PostgreSQL.</w:t>
            </w:r>
          </w:p>
        </w:tc>
        <w:tc>
          <w:tcPr>
            <w:tcW w:type="dxa" w:w="1560"/>
            <w:tcMar>
              <w:top w:w="60" w:type="dxa"/>
              <w:bottom w:w="60" w:type="dxa"/>
              <w:left w:w="80" w:type="dxa"/>
              <w:right w:w="80" w:type="dxa"/>
            </w:tcMar>
          </w:tcPr>
          <w:p>
            <w:pPr>
              <w:spacing w:after="40" w:line="252" w:lineRule="auto"/>
            </w:pPr>
            <w:r>
              <w:rPr>
                <w:rFonts w:ascii="Times New Roman" w:hAnsi="Times New Roman"/>
                <w:b/>
                <w:sz w:val="17"/>
              </w:rPr>
              <w:t>SÍ. Script de Base de Datos:</w:t>
              <w:br/>
              <w:t>backend/sql/01_schema_rls.sql (tablas tareas, productores, productos, pedidos con RLS).</w:t>
            </w:r>
          </w:p>
        </w:tc>
        <w:tc>
          <w:tcPr>
            <w:tcW w:type="dxa" w:w="1560"/>
            <w:tcMar>
              <w:top w:w="60" w:type="dxa"/>
              <w:bottom w:w="60" w:type="dxa"/>
              <w:left w:w="80" w:type="dxa"/>
              <w:right w:w="80" w:type="dxa"/>
            </w:tcMar>
          </w:tcPr>
          <w:p>
            <w:pPr>
              <w:spacing w:after="40" w:line="252" w:lineRule="auto"/>
            </w:pPr>
            <w:r>
              <w:rPr>
                <w:rFonts w:ascii="Times New Roman" w:hAnsi="Times New Roman"/>
                <w:color w:val="0F172A"/>
                <w:sz w:val="17"/>
              </w:rPr>
              <w:t>Ejecución y Verificación en Supabase: El estudiante ejecutó manualmente el script en el SQL Editor de Supabase y verificó el badge verde 'RLS ENABLED' en Table Editor.</w:t>
            </w:r>
          </w:p>
        </w:tc>
        <w:tc>
          <w:tcPr>
            <w:tcW w:type="dxa" w:w="1560"/>
            <w:tcMar>
              <w:top w:w="60" w:type="dxa"/>
              <w:bottom w:w="60" w:type="dxa"/>
              <w:left w:w="80" w:type="dxa"/>
              <w:right w:w="80" w:type="dxa"/>
            </w:tcMar>
          </w:tcPr>
          <w:p>
            <w:pPr>
              <w:spacing w:after="40" w:line="252" w:lineRule="auto"/>
            </w:pPr>
            <w:r>
              <w:rPr>
                <w:rFonts w:ascii="Times New Roman" w:hAnsi="Times New Roman"/>
                <w:sz w:val="17"/>
              </w:rPr>
              <w:t>Aprobado y aplicado manualmente en Supabase por el estudiante.</w:t>
            </w:r>
          </w:p>
        </w:tc>
      </w:tr>
      <w:tr>
        <w:tc>
          <w:tcPr>
            <w:tcW w:type="dxa" w:w="1560"/>
            <w:tcMar>
              <w:top w:w="60" w:type="dxa"/>
              <w:bottom w:w="60" w:type="dxa"/>
              <w:left w:w="80" w:type="dxa"/>
              <w:right w:w="80" w:type="dxa"/>
            </w:tcMar>
          </w:tcPr>
          <w:p>
            <w:pPr>
              <w:spacing w:after="40" w:line="252" w:lineRule="auto"/>
            </w:pPr>
            <w:r>
              <w:rPr>
                <w:rFonts w:ascii="Times New Roman" w:hAnsi="Times New Roman"/>
                <w:sz w:val="17"/>
              </w:rPr>
              <w:t>Hito 03</w:t>
              <w:br/>
              <w:t>Criptografía JWT</w:t>
            </w:r>
          </w:p>
        </w:tc>
        <w:tc>
          <w:tcPr>
            <w:tcW w:type="dxa" w:w="1560"/>
            <w:tcMar>
              <w:top w:w="60" w:type="dxa"/>
              <w:bottom w:w="60" w:type="dxa"/>
              <w:left w:w="80" w:type="dxa"/>
              <w:right w:w="80" w:type="dxa"/>
            </w:tcMar>
          </w:tcPr>
          <w:p>
            <w:pPr>
              <w:spacing w:after="40" w:line="252" w:lineRule="auto"/>
            </w:pPr>
            <w:r>
              <w:rPr>
                <w:rFonts w:ascii="Times New Roman" w:hAnsi="Times New Roman"/>
                <w:sz w:val="17"/>
              </w:rPr>
              <w:t>¿Cómo implementar autenticación robusta con tokens de vida corta, rotación y protección contra desincronización?</w:t>
            </w:r>
          </w:p>
        </w:tc>
        <w:tc>
          <w:tcPr>
            <w:tcW w:type="dxa" w:w="1560"/>
            <w:tcMar>
              <w:top w:w="60" w:type="dxa"/>
              <w:bottom w:w="60" w:type="dxa"/>
              <w:left w:w="80" w:type="dxa"/>
              <w:right w:w="80" w:type="dxa"/>
            </w:tcMar>
          </w:tcPr>
          <w:p>
            <w:pPr>
              <w:spacing w:after="40" w:line="252" w:lineRule="auto"/>
            </w:pPr>
            <w:r>
              <w:rPr>
                <w:rFonts w:ascii="Times New Roman" w:hAnsi="Times New Roman"/>
                <w:sz w:val="17"/>
              </w:rPr>
              <w:t>Propuso estrategia de dos tokens (Access 15m, Refresh 7d) con decorador @token_required y leeway de 10s.</w:t>
            </w:r>
          </w:p>
        </w:tc>
        <w:tc>
          <w:tcPr>
            <w:tcW w:type="dxa" w:w="1560"/>
            <w:tcMar>
              <w:top w:w="60" w:type="dxa"/>
              <w:bottom w:w="60" w:type="dxa"/>
              <w:left w:w="80" w:type="dxa"/>
              <w:right w:w="80" w:type="dxa"/>
            </w:tcMar>
          </w:tcPr>
          <w:p>
            <w:pPr>
              <w:spacing w:after="40" w:line="252" w:lineRule="auto"/>
            </w:pPr>
            <w:r>
              <w:rPr>
                <w:rFonts w:ascii="Times New Roman" w:hAnsi="Times New Roman"/>
                <w:b/>
                <w:sz w:val="17"/>
              </w:rPr>
              <w:t>SÍ. Script criptográfico:</w:t>
              <w:br/>
              <w:t>backend/app/auth/jwt_utils.py (5 comprobaciones estrictas y rotación).</w:t>
            </w:r>
          </w:p>
        </w:tc>
        <w:tc>
          <w:tcPr>
            <w:tcW w:type="dxa" w:w="1560"/>
            <w:tcMar>
              <w:top w:w="60" w:type="dxa"/>
              <w:bottom w:w="60" w:type="dxa"/>
              <w:left w:w="80" w:type="dxa"/>
              <w:right w:w="80" w:type="dxa"/>
            </w:tcMar>
          </w:tcPr>
          <w:p>
            <w:pPr>
              <w:spacing w:after="40" w:line="252" w:lineRule="auto"/>
            </w:pPr>
            <w:r>
              <w:rPr>
                <w:rFonts w:ascii="Times New Roman" w:hAnsi="Times New Roman"/>
                <w:color w:val="0F172A"/>
                <w:sz w:val="17"/>
              </w:rPr>
              <w:t>Prueba de Alteración de Firma: Se alteró el carácter 5 de la firma de un token emitido; la API rechazó con 401 ('La firma del token no es válida'). Se verificó expiración con token vencido.</w:t>
            </w:r>
          </w:p>
        </w:tc>
        <w:tc>
          <w:tcPr>
            <w:tcW w:type="dxa" w:w="1560"/>
            <w:tcMar>
              <w:top w:w="60" w:type="dxa"/>
              <w:bottom w:w="60" w:type="dxa"/>
              <w:left w:w="80" w:type="dxa"/>
              <w:right w:w="80" w:type="dxa"/>
            </w:tcMar>
          </w:tcPr>
          <w:p>
            <w:pPr>
              <w:spacing w:after="40" w:line="252" w:lineRule="auto"/>
            </w:pPr>
            <w:r>
              <w:rPr>
                <w:rFonts w:ascii="Times New Roman" w:hAnsi="Times New Roman"/>
                <w:sz w:val="17"/>
              </w:rPr>
              <w:t>Aprobado.</w:t>
              <w:br/>
              <w:t>Cumple estándar OAuth 2.0 y RFC 6749.</w:t>
            </w:r>
          </w:p>
        </w:tc>
      </w:tr>
      <w:tr>
        <w:tc>
          <w:tcPr>
            <w:tcW w:type="dxa" w:w="1560"/>
            <w:tcMar>
              <w:top w:w="60" w:type="dxa"/>
              <w:bottom w:w="60" w:type="dxa"/>
              <w:left w:w="80" w:type="dxa"/>
              <w:right w:w="80" w:type="dxa"/>
            </w:tcMar>
          </w:tcPr>
          <w:p>
            <w:pPr>
              <w:spacing w:after="40" w:line="252" w:lineRule="auto"/>
            </w:pPr>
            <w:r>
              <w:rPr>
                <w:rFonts w:ascii="Times New Roman" w:hAnsi="Times New Roman"/>
                <w:sz w:val="17"/>
              </w:rPr>
              <w:t>Hito 04</w:t>
              <w:br/>
              <w:t>Calidad y Tests</w:t>
            </w:r>
          </w:p>
        </w:tc>
        <w:tc>
          <w:tcPr>
            <w:tcW w:type="dxa" w:w="1560"/>
            <w:tcMar>
              <w:top w:w="60" w:type="dxa"/>
              <w:bottom w:w="60" w:type="dxa"/>
              <w:left w:w="80" w:type="dxa"/>
              <w:right w:w="80" w:type="dxa"/>
            </w:tcMar>
          </w:tcPr>
          <w:p>
            <w:pPr>
              <w:spacing w:after="40" w:line="252" w:lineRule="auto"/>
            </w:pPr>
            <w:r>
              <w:rPr>
                <w:rFonts w:ascii="Times New Roman" w:hAnsi="Times New Roman"/>
                <w:sz w:val="17"/>
              </w:rPr>
              <w:t>¿Cómo certificar ante el docente que la API cumple con todos los requisitos y no tiene fallas de seguridad?</w:t>
            </w:r>
          </w:p>
        </w:tc>
        <w:tc>
          <w:tcPr>
            <w:tcW w:type="dxa" w:w="1560"/>
            <w:tcMar>
              <w:top w:w="60" w:type="dxa"/>
              <w:bottom w:w="60" w:type="dxa"/>
              <w:left w:w="80" w:type="dxa"/>
              <w:right w:w="80" w:type="dxa"/>
            </w:tcMar>
          </w:tcPr>
          <w:p>
            <w:pPr>
              <w:spacing w:after="40" w:line="252" w:lineRule="auto"/>
            </w:pPr>
            <w:r>
              <w:rPr>
                <w:rFonts w:ascii="Times New Roman" w:hAnsi="Times New Roman"/>
                <w:sz w:val="17"/>
              </w:rPr>
              <w:t>Sugirió una batería exhaustiva de 22 pruebas automatizadas con fixtures de cliente de pruebas en Pytest.</w:t>
            </w:r>
          </w:p>
        </w:tc>
        <w:tc>
          <w:tcPr>
            <w:tcW w:type="dxa" w:w="1560"/>
            <w:tcMar>
              <w:top w:w="60" w:type="dxa"/>
              <w:bottom w:w="60" w:type="dxa"/>
              <w:left w:w="80" w:type="dxa"/>
              <w:right w:w="80" w:type="dxa"/>
            </w:tcMar>
          </w:tcPr>
          <w:p>
            <w:pPr>
              <w:spacing w:after="40" w:line="252" w:lineRule="auto"/>
            </w:pPr>
            <w:r>
              <w:rPr>
                <w:rFonts w:ascii="Times New Roman" w:hAnsi="Times New Roman"/>
                <w:b/>
                <w:sz w:val="17"/>
              </w:rPr>
              <w:t>SÍ. Script de Pruebas:</w:t>
              <w:br/>
              <w:t>backend/tests/test_api.py y archivo pytest.ini.</w:t>
            </w:r>
          </w:p>
        </w:tc>
        <w:tc>
          <w:tcPr>
            <w:tcW w:type="dxa" w:w="1560"/>
            <w:tcMar>
              <w:top w:w="60" w:type="dxa"/>
              <w:bottom w:w="60" w:type="dxa"/>
              <w:left w:w="80" w:type="dxa"/>
              <w:right w:w="80" w:type="dxa"/>
            </w:tcMar>
          </w:tcPr>
          <w:p>
            <w:pPr>
              <w:spacing w:after="40" w:line="252" w:lineRule="auto"/>
            </w:pPr>
            <w:r>
              <w:rPr>
                <w:rFonts w:ascii="Times New Roman" w:hAnsi="Times New Roman"/>
                <w:color w:val="0F172A"/>
                <w:sz w:val="17"/>
              </w:rPr>
              <w:t>Ejecución en Terminal: Se ejecutó 'pytest -v' en el entorno virtual local; se verificó que las 22 pruebas pasaran en verde en 0.29s (aislamiento 404, token alterado, 409, EcoFeria CU-01 a CU-04).</w:t>
            </w:r>
          </w:p>
        </w:tc>
        <w:tc>
          <w:tcPr>
            <w:tcW w:type="dxa" w:w="1560"/>
            <w:tcMar>
              <w:top w:w="60" w:type="dxa"/>
              <w:bottom w:w="60" w:type="dxa"/>
              <w:left w:w="80" w:type="dxa"/>
              <w:right w:w="80" w:type="dxa"/>
            </w:tcMar>
          </w:tcPr>
          <w:p>
            <w:pPr>
              <w:spacing w:after="40" w:line="252" w:lineRule="auto"/>
            </w:pPr>
            <w:r>
              <w:rPr>
                <w:rFonts w:ascii="Times New Roman" w:hAnsi="Times New Roman"/>
                <w:sz w:val="17"/>
              </w:rPr>
              <w:t>Aprobado al 100%.</w:t>
              <w:br/>
              <w:t>22 passed en 0.29 segundos.</w:t>
            </w:r>
          </w:p>
        </w:tc>
      </w:tr>
      <w:tr>
        <w:tc>
          <w:tcPr>
            <w:tcW w:type="dxa" w:w="1560"/>
            <w:tcMar>
              <w:top w:w="60" w:type="dxa"/>
              <w:bottom w:w="60" w:type="dxa"/>
              <w:left w:w="80" w:type="dxa"/>
              <w:right w:w="80" w:type="dxa"/>
            </w:tcMar>
          </w:tcPr>
          <w:p>
            <w:pPr>
              <w:spacing w:after="40" w:line="252" w:lineRule="auto"/>
            </w:pPr>
            <w:r>
              <w:rPr>
                <w:rFonts w:ascii="Times New Roman" w:hAnsi="Times New Roman"/>
                <w:sz w:val="17"/>
              </w:rPr>
              <w:t>Hito 05</w:t>
              <w:br/>
              <w:t>Despliegue Nube</w:t>
            </w:r>
          </w:p>
        </w:tc>
        <w:tc>
          <w:tcPr>
            <w:tcW w:type="dxa" w:w="1560"/>
            <w:tcMar>
              <w:top w:w="60" w:type="dxa"/>
              <w:bottom w:w="60" w:type="dxa"/>
              <w:left w:w="80" w:type="dxa"/>
              <w:right w:w="80" w:type="dxa"/>
            </w:tcMar>
          </w:tcPr>
          <w:p>
            <w:pPr>
              <w:spacing w:after="40" w:line="252" w:lineRule="auto"/>
            </w:pPr>
            <w:r>
              <w:rPr>
                <w:rFonts w:ascii="Times New Roman" w:hAnsi="Times New Roman"/>
                <w:sz w:val="17"/>
              </w:rPr>
              <w:t>¿Cuál es la configuración óptima para desplegar en el nivel gratuito de Render sin pagar y con seguridad?</w:t>
            </w:r>
          </w:p>
        </w:tc>
        <w:tc>
          <w:tcPr>
            <w:tcW w:type="dxa" w:w="1560"/>
            <w:tcMar>
              <w:top w:w="60" w:type="dxa"/>
              <w:bottom w:w="60" w:type="dxa"/>
              <w:left w:w="80" w:type="dxa"/>
              <w:right w:w="80" w:type="dxa"/>
            </w:tcMar>
          </w:tcPr>
          <w:p>
            <w:pPr>
              <w:spacing w:after="40" w:line="252" w:lineRule="auto"/>
            </w:pPr>
            <w:r>
              <w:rPr>
                <w:rFonts w:ascii="Times New Roman" w:hAnsi="Times New Roman"/>
                <w:sz w:val="17"/>
              </w:rPr>
              <w:t>Propuso usar runtime Python 3 con Gunicorn WSGI, aislar el Root Directory en 'backend' y usar variables de entorno seguras.</w:t>
            </w:r>
          </w:p>
        </w:tc>
        <w:tc>
          <w:tcPr>
            <w:tcW w:type="dxa" w:w="1560"/>
            <w:tcMar>
              <w:top w:w="60" w:type="dxa"/>
              <w:bottom w:w="60" w:type="dxa"/>
              <w:left w:w="80" w:type="dxa"/>
              <w:right w:w="80" w:type="dxa"/>
            </w:tcMar>
          </w:tcPr>
          <w:p>
            <w:pPr>
              <w:spacing w:after="40" w:line="252" w:lineRule="auto"/>
            </w:pPr>
            <w:r>
              <w:rPr>
                <w:rFonts w:ascii="Times New Roman" w:hAnsi="Times New Roman"/>
                <w:b/>
                <w:sz w:val="17"/>
              </w:rPr>
              <w:t>SÍ. Configuración de Despliegue:</w:t>
              <w:br/>
              <w:t>Comando de build ('pip install -r requirements.txt'), comando start ('gunicorn app:create_app()') y mapeo de 5 env vars.</w:t>
            </w:r>
          </w:p>
        </w:tc>
        <w:tc>
          <w:tcPr>
            <w:tcW w:type="dxa" w:w="1560"/>
            <w:tcMar>
              <w:top w:w="60" w:type="dxa"/>
              <w:bottom w:w="60" w:type="dxa"/>
              <w:left w:w="80" w:type="dxa"/>
              <w:right w:w="80" w:type="dxa"/>
            </w:tcMar>
          </w:tcPr>
          <w:p>
            <w:pPr>
              <w:spacing w:after="40" w:line="252" w:lineRule="auto"/>
            </w:pPr>
            <w:r>
              <w:rPr>
                <w:rFonts w:ascii="Times New Roman" w:hAnsi="Times New Roman"/>
                <w:color w:val="0F172A"/>
                <w:sz w:val="17"/>
              </w:rPr>
              <w:t>Validación Local y en Nube: Se probó el arranque de Gunicorn localmente, se verificó que .env esté en .gitignore para no subir secretos a GitHub, y se cargaron las 5 variables en el Dashboard de Render.</w:t>
            </w:r>
          </w:p>
        </w:tc>
        <w:tc>
          <w:tcPr>
            <w:tcW w:type="dxa" w:w="1560"/>
            <w:tcMar>
              <w:top w:w="60" w:type="dxa"/>
              <w:bottom w:w="60" w:type="dxa"/>
              <w:left w:w="80" w:type="dxa"/>
              <w:right w:w="80" w:type="dxa"/>
            </w:tcMar>
          </w:tcPr>
          <w:p>
            <w:pPr>
              <w:spacing w:after="40" w:line="252" w:lineRule="auto"/>
            </w:pPr>
            <w:r>
              <w:rPr>
                <w:rFonts w:ascii="Times New Roman" w:hAnsi="Times New Roman"/>
                <w:sz w:val="17"/>
              </w:rPr>
              <w:t>Aprobado.</w:t>
              <w:br/>
              <w:t>Despliegue operativo y costo 0 Bs garantizado.</w:t>
            </w:r>
          </w:p>
        </w:tc>
      </w:tr>
      <w:tr>
        <w:tc>
          <w:tcPr>
            <w:tcW w:type="dxa" w:w="1560"/>
            <w:tcMar>
              <w:top w:w="60" w:type="dxa"/>
              <w:bottom w:w="60" w:type="dxa"/>
              <w:left w:w="80" w:type="dxa"/>
              <w:right w:w="80" w:type="dxa"/>
            </w:tcMar>
          </w:tcPr>
          <w:p>
            <w:pPr>
              <w:spacing w:after="40" w:line="252" w:lineRule="auto"/>
            </w:pPr>
            <w:r>
              <w:rPr>
                <w:rFonts w:ascii="Times New Roman" w:hAnsi="Times New Roman"/>
                <w:sz w:val="17"/>
              </w:rPr>
              <w:t>Hito 06</w:t>
              <w:br/>
              <w:t>Reporte Formal</w:t>
            </w:r>
          </w:p>
        </w:tc>
        <w:tc>
          <w:tcPr>
            <w:tcW w:type="dxa" w:w="1560"/>
            <w:tcMar>
              <w:top w:w="60" w:type="dxa"/>
              <w:bottom w:w="60" w:type="dxa"/>
              <w:left w:w="80" w:type="dxa"/>
              <w:right w:w="80" w:type="dxa"/>
            </w:tcMar>
          </w:tcPr>
          <w:p>
            <w:pPr>
              <w:spacing w:after="40" w:line="252" w:lineRule="auto"/>
            </w:pPr>
            <w:r>
              <w:rPr>
                <w:rFonts w:ascii="Times New Roman" w:hAnsi="Times New Roman"/>
                <w:sz w:val="17"/>
              </w:rPr>
              <w:t>¿Cómo estructurar el informe para cumplir la pauta de 10 partes, APA 7 y generar el PDF/DOCX oficial?</w:t>
            </w:r>
          </w:p>
        </w:tc>
        <w:tc>
          <w:tcPr>
            <w:tcW w:type="dxa" w:w="1560"/>
            <w:tcMar>
              <w:top w:w="60" w:type="dxa"/>
              <w:bottom w:w="60" w:type="dxa"/>
              <w:left w:w="80" w:type="dxa"/>
              <w:right w:w="80" w:type="dxa"/>
            </w:tcMar>
          </w:tcPr>
          <w:p>
            <w:pPr>
              <w:spacing w:after="40" w:line="252" w:lineRule="auto"/>
            </w:pPr>
            <w:r>
              <w:rPr>
                <w:rFonts w:ascii="Times New Roman" w:hAnsi="Times New Roman"/>
                <w:sz w:val="17"/>
              </w:rPr>
              <w:t>Propuso scripts automatizados de generación editorial con diseño profesional para conversión a PDF e informe DOCX.</w:t>
            </w:r>
          </w:p>
        </w:tc>
        <w:tc>
          <w:tcPr>
            <w:tcW w:type="dxa" w:w="1560"/>
            <w:tcMar>
              <w:top w:w="60" w:type="dxa"/>
              <w:bottom w:w="60" w:type="dxa"/>
              <w:left w:w="80" w:type="dxa"/>
              <w:right w:w="80" w:type="dxa"/>
            </w:tcMar>
          </w:tcPr>
          <w:p>
            <w:pPr>
              <w:spacing w:after="40" w:line="252" w:lineRule="auto"/>
            </w:pPr>
            <w:r>
              <w:rPr>
                <w:rFonts w:ascii="Times New Roman" w:hAnsi="Times New Roman"/>
                <w:b/>
                <w:sz w:val="17"/>
              </w:rPr>
              <w:t>SÍ. Scripts de Generación:</w:t>
              <w:br/>
              <w:t>generate_html_report.py y generate_docx_report.py.</w:t>
            </w:r>
          </w:p>
        </w:tc>
        <w:tc>
          <w:tcPr>
            <w:tcW w:type="dxa" w:w="1560"/>
            <w:tcMar>
              <w:top w:w="60" w:type="dxa"/>
              <w:bottom w:w="60" w:type="dxa"/>
              <w:left w:w="80" w:type="dxa"/>
              <w:right w:w="80" w:type="dxa"/>
            </w:tcMar>
          </w:tcPr>
          <w:p>
            <w:pPr>
              <w:spacing w:after="40" w:line="252" w:lineRule="auto"/>
            </w:pPr>
            <w:r>
              <w:rPr>
                <w:rFonts w:ascii="Times New Roman" w:hAnsi="Times New Roman"/>
                <w:color w:val="0F172A"/>
                <w:sz w:val="17"/>
              </w:rPr>
              <w:t>Inspección Visual y Validación Cruzada: Apertura del informe en navegador web con motor de impresión y apertura del DOCX en Word verificando tipografía Times New Roman y tablas APA 7.</w:t>
            </w:r>
          </w:p>
        </w:tc>
        <w:tc>
          <w:tcPr>
            <w:tcW w:type="dxa" w:w="1560"/>
            <w:tcMar>
              <w:top w:w="60" w:type="dxa"/>
              <w:bottom w:w="60" w:type="dxa"/>
              <w:left w:w="80" w:type="dxa"/>
              <w:right w:w="80" w:type="dxa"/>
            </w:tcMar>
          </w:tcPr>
          <w:p>
            <w:pPr>
              <w:spacing w:after="40" w:line="252" w:lineRule="auto"/>
            </w:pPr>
            <w:r>
              <w:rPr>
                <w:rFonts w:ascii="Times New Roman" w:hAnsi="Times New Roman"/>
                <w:sz w:val="17"/>
              </w:rPr>
              <w:t>Aprobado.</w:t>
              <w:br/>
              <w:t>Documento listo para firma y entrega evaluativa.</w:t>
            </w:r>
          </w:p>
        </w:tc>
      </w:tr>
    </w:tbl>
    <w:p>
      <w:pPr>
        <w:spacing w:after="280" w:line="288" w:lineRule="auto"/>
        <w:jc w:val="both"/>
      </w:pPr>
      <w:r>
        <w:rPr>
          <w:rFonts w:ascii="Times New Roman" w:hAnsi="Times New Roman"/>
          <w:b w:val="0"/>
          <w:i/>
          <w:sz w:val="19"/>
        </w:rPr>
        <w:t>Nota. Matriz formulada en estricto apego a la directiva institucional de gobernanza AI-DLC de la UPDS. Todas las sugerencias de la IA fueron sometidas a verificación humana previa a su integración en el repositorio.</w:t>
      </w:r>
    </w:p>
    <w:p>
      <w:pPr>
        <w:keepNext/>
        <w:spacing w:before="200" w:after="60"/>
        <w:jc w:val="left"/>
      </w:pPr>
      <w:r>
        <w:rPr>
          <w:rFonts w:ascii="Times New Roman" w:hAnsi="Times New Roman"/>
          <w:b/>
          <w:color w:val="0F172A"/>
          <w:sz w:val="25"/>
        </w:rPr>
        <w:t>Anexo B: Acta de la Sesión de Mob Construction (Bloque III)</w:t>
      </w:r>
    </w:p>
    <w:p>
      <w:pPr>
        <w:spacing w:after="80" w:line="276" w:lineRule="auto"/>
        <w:ind w:left="432"/>
        <w:jc w:val="both"/>
      </w:pPr>
      <w:r>
        <w:rPr>
          <w:rFonts w:ascii="Times New Roman" w:hAnsi="Times New Roman"/>
          <w:b/>
          <w:color w:val="1A366E"/>
        </w:rPr>
        <w:t xml:space="preserve">• </w:t>
      </w:r>
      <w:r>
        <w:rPr>
          <w:rFonts w:ascii="Times New Roman" w:hAnsi="Times New Roman"/>
          <w:sz w:val="23"/>
        </w:rPr>
        <w:t>Fecha y Horario: 23 y 28 de septiembre de 2026, Bloque Evaluativo III.</w:t>
      </w:r>
    </w:p>
    <w:p>
      <w:pPr>
        <w:spacing w:after="80" w:line="276" w:lineRule="auto"/>
        <w:ind w:left="432"/>
        <w:jc w:val="both"/>
      </w:pPr>
      <w:r>
        <w:rPr>
          <w:rFonts w:ascii="Times New Roman" w:hAnsi="Times New Roman"/>
          <w:b/>
          <w:color w:val="1A366E"/>
        </w:rPr>
        <w:t xml:space="preserve">• </w:t>
      </w:r>
      <w:r>
        <w:rPr>
          <w:rFonts w:ascii="Times New Roman" w:hAnsi="Times New Roman"/>
          <w:sz w:val="23"/>
        </w:rPr>
        <w:t>Lugar y Modalidad: Laboratorio de Cómputo UPDS / Modalidad Presencial y Sala Virtual de Ingeniería.</w:t>
      </w:r>
    </w:p>
    <w:p>
      <w:pPr>
        <w:spacing w:after="80" w:line="276" w:lineRule="auto"/>
        <w:ind w:left="432"/>
        <w:jc w:val="both"/>
      </w:pPr>
      <w:r>
        <w:rPr>
          <w:rFonts w:ascii="Times New Roman" w:hAnsi="Times New Roman"/>
          <w:b/>
          <w:color w:val="1A366E"/>
        </w:rPr>
        <w:t xml:space="preserve">• </w:t>
      </w:r>
      <w:r>
        <w:rPr>
          <w:rFonts w:ascii="Times New Roman" w:hAnsi="Times New Roman"/>
          <w:sz w:val="23"/>
        </w:rPr>
        <w:t>Participantes del Pod: Eduar Heredia Chávez, Limbert David Quispe Osco y Antigravity AI (Copiloto AI-DLC).</w:t>
      </w:r>
    </w:p>
    <w:p>
      <w:pPr>
        <w:spacing w:after="80" w:line="276" w:lineRule="auto"/>
        <w:ind w:left="432"/>
        <w:jc w:val="both"/>
      </w:pPr>
      <w:r>
        <w:rPr>
          <w:rFonts w:ascii="Times New Roman" w:hAnsi="Times New Roman"/>
          <w:b/>
          <w:color w:val="1A366E"/>
        </w:rPr>
        <w:t xml:space="preserve">• </w:t>
      </w:r>
      <w:r>
        <w:rPr>
          <w:rFonts w:ascii="Times New Roman" w:hAnsi="Times New Roman"/>
          <w:sz w:val="23"/>
        </w:rPr>
        <w:t>Resolución Unánime del Pod: Aprobación definitiva de la arquitectura backend en Flask con Blueprints, ejecución del script DDL con políticas RLS en Supabase, certificación de 22 pruebas automatizadas en Pytest y adopción de la configuración de despliegue en Render.</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6464"/>
        <w:sz w:val="18"/>
      </w:rPr>
      <w:t xml:space="preserve">Programación Web II — SIS-0301 | UPDS               Página </w:t>
    </w:r>
    <w:r>
      <w:rPr>
        <w:rFonts w:ascii="Times New Roman" w:hAnsi="Times New Roman"/>
        <w:b/>
        <w:color w:val="1E3A8A"/>
        <w:sz w:val="18"/>
      </w:rP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787878"/>
        <w:sz w:val="17"/>
      </w:rPr>
      <w:t>UPDS | PROGRAMACIÓN WEB II — ACTIVIDAD 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Times New Roman" w:hAnsi="Times New Roman"/>
      <w:color w:val="212529"/>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e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