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365D"/>
          <w:sz w:val="40"/>
        </w:rPr>
        <w:t>INFORME EJECUTIVO Y GUÍA INTEGRAL DE EVALUACIÓN</w:t>
      </w:r>
    </w:p>
    <w:p>
      <w:pPr>
        <w:spacing w:after="320"/>
        <w:jc w:val="center"/>
      </w:pPr>
      <w:r>
        <w:rPr>
          <w:rFonts w:ascii="Calibri" w:hAnsi="Calibri"/>
          <w:i/>
          <w:color w:val="0E7490"/>
          <w:sz w:val="22"/>
        </w:rPr>
        <w:t>Arquitectura de Mensajería y Comunicación entre Microservicios: Catch&amp;Go</w:t>
        <w:br/>
        <w:t>Evaluación de Software - Caso de Negocio, Pruebas y Defensa Técnica</w:t>
      </w:r>
    </w:p>
    <w:p>
      <w:pPr>
        <w:pStyle w:val="Heading1"/>
        <w:spacing w:before="280" w:after="120"/>
      </w:pPr>
      <w:r>
        <w:rPr>
          <w:rFonts w:ascii="Calibri" w:hAnsi="Calibri"/>
          <w:b/>
          <w:color w:val="1A365D"/>
          <w:sz w:val="32"/>
        </w:rPr>
        <w:t>1. RESUMEN EJECUTIVO Y CASOS DE NEGOCIO</w:t>
      </w:r>
    </w:p>
    <w:p>
      <w:pPr>
        <w:spacing w:after="160"/>
      </w:pPr>
      <w:r>
        <w:rPr>
          <w:rFonts w:ascii="Calibri" w:hAnsi="Calibri"/>
          <w:sz w:val="21"/>
        </w:rPr>
        <w:t>En la plataforma Catch&amp;Go (sistema de reclutamiento y asignación inmediata de empleos temporales), la interacción entre microservicios se diseñó siguiendo un patrón híbrido que combina comunicación síncrona (HTTP/REST con Spring Cloud OpenFeign) y comunicación asíncrona orientada a eventos (Redis Streams con Consumer Groups y Dead Letter Queues). Este diseño optimiza la experiencia de usuario, asegura la disponibilidad del sistema y garantiza tolerancia a fallos.</w:t>
      </w:r>
    </w:p>
    <w:p>
      <w:pPr>
        <w:pStyle w:val="Heading2"/>
        <w:spacing w:before="280" w:after="120"/>
      </w:pPr>
      <w:r>
        <w:rPr>
          <w:rFonts w:ascii="Calibri" w:hAnsi="Calibri"/>
          <w:b/>
          <w:color w:val="0E7490"/>
          <w:sz w:val="26"/>
        </w:rPr>
        <w:t>Caso de Negocio 1: Comunicación Síncrona (Matching a Perfil vía OpenFeign)</w:t>
      </w:r>
    </w:p>
    <w:p>
      <w:pPr>
        <w:spacing w:after="120"/>
      </w:pPr>
      <w:r>
        <w:rPr>
          <w:rFonts w:ascii="Calibri" w:hAnsi="Calibri"/>
          <w:sz w:val="20"/>
        </w:rPr>
        <w:t>• Escenario: Evaluación y cálculo de compatibilidad inmediata de un postulante a un empleo.</w:t>
        <w:br/>
        <w:t>• Microservicios: matching-service (cliente) -&gt; profile-service (servidor).</w:t>
        <w:br/>
        <w:t>• Justificación de Negocio: Para que el algoritmo de matching pueda evaluar si un candidato es apto para un turno urgente, requiere en ese instante exacto los datos actualizados del perfil (habilidades, certificaciones, estado y disponibilidad). Si esta consulta fuera asíncrona, el usuario quedaría en un estado indefinido sin saber si su postulación fue aceptada en el momento.</w:t>
        <w:br/>
        <w:t>• Analogía de negocio: Es equivalente al pago con tarjeta en una pasarela o a la validación de un código OTP de seguridad: la operación se detiene una fracción de segundo para esperar un 'Aprobado' o 'Rechazado' antes de continuar.</w:t>
      </w:r>
    </w:p>
    <w:p>
      <w:pPr>
        <w:pStyle w:val="Heading2"/>
        <w:spacing w:before="280" w:after="120"/>
      </w:pPr>
      <w:r>
        <w:rPr>
          <w:rFonts w:ascii="Calibri" w:hAnsi="Calibri"/>
          <w:b/>
          <w:color w:val="0E7490"/>
          <w:sz w:val="26"/>
        </w:rPr>
        <w:t>Caso de Negocio 2: Comunicación Asíncrona (Publicación de Empleo vía Redis Streams)</w:t>
      </w:r>
    </w:p>
    <w:p>
      <w:pPr>
        <w:spacing w:after="120"/>
      </w:pPr>
      <w:r>
        <w:rPr>
          <w:rFonts w:ascii="Calibri" w:hAnsi="Calibri"/>
          <w:sz w:val="20"/>
        </w:rPr>
        <w:t>• Escenario: Publicación de una nueva oferta de trabajo por parte de una empresa empleadora.</w:t>
        <w:br/>
        <w:t>• Microservicios: jobs-service (productor) -&gt; Redis Streams (jobs-stream) -&gt; matching-service y notification-service (consumidores independientes).</w:t>
        <w:br/>
        <w:t>• Justificación de Negocio:</w:t>
        <w:br/>
        <w:t xml:space="preserve">  1. Respuesta Inmediata: La empresa que publica la oferta no debe esperar a que el sistema busque compatibilidad entre miles de trabajadores ni a que se envíen cientos de correos. La oferta se guarda en base de datos, se emite el evento job.created y la empresa recibe 201 Created en menos de 40 ms.</w:t>
        <w:br/>
        <w:t xml:space="preserve">  2. Tolerancia a Fallos: Si el servicio de notificaciones sufre una caída temporal o se satura, la publicación del empleo NO falla. El evento queda resguardado de forma persistente en Redis hasta que el consumidor se recupere.</w:t>
        <w:br/>
        <w:t xml:space="preserve">  3. Escalabilidad Independiente: matching-service y notification-service leen y procesan el evento a su propio ritmo sin interferir entre sí.</w:t>
      </w:r>
    </w:p>
    <w:p>
      <w:pPr>
        <w:pStyle w:val="Heading1"/>
        <w:spacing w:before="280" w:after="120"/>
      </w:pPr>
      <w:r>
        <w:rPr>
          <w:rFonts w:ascii="Calibri" w:hAnsi="Calibri"/>
          <w:b/>
          <w:color w:val="1A365D"/>
          <w:sz w:val="32"/>
        </w:rPr>
        <w:t>2. GLOSARIO DE CONCEPTOS CLAVE (EN MODO SIMPLE)</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293B"/>
          </w:tcPr>
          <w:p>
            <w:pPr>
              <w:spacing w:before="80" w:after="80"/>
            </w:pPr>
            <w:r>
              <w:rPr>
                <w:rFonts w:ascii="Calibri" w:hAnsi="Calibri"/>
                <w:b/>
                <w:color w:val="FFFFFF"/>
                <w:sz w:val="20"/>
              </w:rPr>
              <w:t>Término</w:t>
            </w:r>
          </w:p>
        </w:tc>
        <w:tc>
          <w:tcPr>
            <w:tcW w:type="dxa" w:w="3600"/>
            <w:shd w:fill="1E293B"/>
          </w:tcPr>
          <w:p>
            <w:pPr>
              <w:spacing w:before="80" w:after="80"/>
            </w:pPr>
            <w:r>
              <w:rPr>
                <w:rFonts w:ascii="Calibri" w:hAnsi="Calibri"/>
                <w:b/>
                <w:color w:val="FFFFFF"/>
                <w:sz w:val="20"/>
              </w:rPr>
              <w:t>Definición Técnica</w:t>
            </w:r>
          </w:p>
        </w:tc>
        <w:tc>
          <w:tcPr>
            <w:tcW w:type="dxa" w:w="3600"/>
            <w:shd w:fill="1E293B"/>
          </w:tcPr>
          <w:p>
            <w:pPr>
              <w:spacing w:before="80" w:after="80"/>
            </w:pPr>
            <w:r>
              <w:rPr>
                <w:rFonts w:ascii="Calibri" w:hAnsi="Calibri"/>
                <w:b/>
                <w:color w:val="FFFFFF"/>
                <w:sz w:val="20"/>
              </w:rPr>
              <w:t>Explicación Simple (Para Examen)</w:t>
            </w:r>
          </w:p>
        </w:tc>
      </w:tr>
      <w:tr>
        <w:tc>
          <w:tcPr>
            <w:tcW w:type="dxa" w:w="2160"/>
            <w:shd w:fill="FFFFFF"/>
          </w:tcPr>
          <w:p>
            <w:pPr>
              <w:spacing w:before="60" w:after="60"/>
            </w:pPr>
            <w:r>
              <w:rPr>
                <w:rFonts w:ascii="Calibri" w:hAnsi="Calibri"/>
                <w:b/>
                <w:color w:val="1A365D"/>
                <w:sz w:val="19"/>
              </w:rPr>
              <w:t>Comunicación Síncrona</w:t>
            </w:r>
          </w:p>
        </w:tc>
        <w:tc>
          <w:tcPr>
            <w:tcW w:type="dxa" w:w="3600"/>
            <w:shd w:fill="FFFFFF"/>
          </w:tcPr>
          <w:p>
            <w:pPr>
              <w:spacing w:before="60" w:after="60"/>
            </w:pPr>
            <w:r>
              <w:rPr>
                <w:rFonts w:ascii="Calibri" w:hAnsi="Calibri"/>
                <w:sz w:val="19"/>
              </w:rPr>
              <w:t>Modelo solicitud-respuesta donde el emisor bloquea el hilo de ejecución hasta recibir respuesta del receptor.</w:t>
            </w:r>
          </w:p>
        </w:tc>
        <w:tc>
          <w:tcPr>
            <w:tcW w:type="dxa" w:w="3600"/>
            <w:shd w:fill="FFFFFF"/>
          </w:tcPr>
          <w:p>
            <w:pPr>
              <w:spacing w:before="60" w:after="60"/>
            </w:pPr>
            <w:r>
              <w:rPr>
                <w:rFonts w:ascii="Calibri" w:hAnsi="Calibri"/>
                <w:sz w:val="19"/>
              </w:rPr>
              <w:t>Es como una llamada telefónica: hablas y esperas en línea a que la otra persona te conteste para continuar.</w:t>
            </w:r>
          </w:p>
        </w:tc>
      </w:tr>
      <w:tr>
        <w:tc>
          <w:tcPr>
            <w:tcW w:type="dxa" w:w="2160"/>
            <w:shd w:fill="F1F5F9"/>
          </w:tcPr>
          <w:p>
            <w:pPr>
              <w:spacing w:before="60" w:after="60"/>
            </w:pPr>
            <w:r>
              <w:rPr>
                <w:rFonts w:ascii="Calibri" w:hAnsi="Calibri"/>
                <w:b/>
                <w:color w:val="1A365D"/>
                <w:sz w:val="19"/>
              </w:rPr>
              <w:t>Comunicación Asíncrona</w:t>
            </w:r>
          </w:p>
        </w:tc>
        <w:tc>
          <w:tcPr>
            <w:tcW w:type="dxa" w:w="3600"/>
            <w:shd w:fill="F1F5F9"/>
          </w:tcPr>
          <w:p>
            <w:pPr>
              <w:spacing w:before="60" w:after="60"/>
            </w:pPr>
            <w:r>
              <w:rPr>
                <w:rFonts w:ascii="Calibri" w:hAnsi="Calibri"/>
                <w:sz w:val="19"/>
              </w:rPr>
              <w:t>Modelo desacoplado en el tiempo donde el emisor publica un mensaje y continúa su trabajo sin esperar al receptor.</w:t>
            </w:r>
          </w:p>
        </w:tc>
        <w:tc>
          <w:tcPr>
            <w:tcW w:type="dxa" w:w="3600"/>
            <w:shd w:fill="F1F5F9"/>
          </w:tcPr>
          <w:p>
            <w:pPr>
              <w:spacing w:before="60" w:after="60"/>
            </w:pPr>
            <w:r>
              <w:rPr>
                <w:rFonts w:ascii="Calibri" w:hAnsi="Calibri"/>
                <w:sz w:val="19"/>
              </w:rPr>
              <w:t>Es como enviar un correo o WhatsApp: lo envías, sigues con tu día y la otra parte lo lee y procesa cuando pueda.</w:t>
            </w:r>
          </w:p>
        </w:tc>
      </w:tr>
      <w:tr>
        <w:tc>
          <w:tcPr>
            <w:tcW w:type="dxa" w:w="2160"/>
            <w:shd w:fill="FFFFFF"/>
          </w:tcPr>
          <w:p>
            <w:pPr>
              <w:spacing w:before="60" w:after="60"/>
            </w:pPr>
            <w:r>
              <w:rPr>
                <w:rFonts w:ascii="Calibri" w:hAnsi="Calibri"/>
                <w:b/>
                <w:color w:val="1A365D"/>
                <w:sz w:val="19"/>
              </w:rPr>
              <w:t>Message Broker / Stream (Redis)</w:t>
            </w:r>
          </w:p>
        </w:tc>
        <w:tc>
          <w:tcPr>
            <w:tcW w:type="dxa" w:w="3600"/>
            <w:shd w:fill="FFFFFF"/>
          </w:tcPr>
          <w:p>
            <w:pPr>
              <w:spacing w:before="60" w:after="60"/>
            </w:pPr>
            <w:r>
              <w:rPr>
                <w:rFonts w:ascii="Calibri" w:hAnsi="Calibri"/>
                <w:sz w:val="19"/>
              </w:rPr>
              <w:t>Plataforma intermediaria de mensajería que recibe, almacena de forma ordenada y distribuye eventos entre servicios.</w:t>
            </w:r>
          </w:p>
        </w:tc>
        <w:tc>
          <w:tcPr>
            <w:tcW w:type="dxa" w:w="3600"/>
            <w:shd w:fill="FFFFFF"/>
          </w:tcPr>
          <w:p>
            <w:pPr>
              <w:spacing w:before="60" w:after="60"/>
            </w:pPr>
            <w:r>
              <w:rPr>
                <w:rFonts w:ascii="Calibri" w:hAnsi="Calibri"/>
                <w:sz w:val="19"/>
              </w:rPr>
              <w:t>Es la oficina de correos central: los servicios dejan paquetes ahí y los destinatarios pasan a recogerlos en orden.</w:t>
            </w:r>
          </w:p>
        </w:tc>
      </w:tr>
      <w:tr>
        <w:tc>
          <w:tcPr>
            <w:tcW w:type="dxa" w:w="2160"/>
            <w:shd w:fill="F1F5F9"/>
          </w:tcPr>
          <w:p>
            <w:pPr>
              <w:spacing w:before="60" w:after="60"/>
            </w:pPr>
            <w:r>
              <w:rPr>
                <w:rFonts w:ascii="Calibri" w:hAnsi="Calibri"/>
                <w:b/>
                <w:color w:val="1A365D"/>
                <w:sz w:val="19"/>
              </w:rPr>
              <w:t>Consumer Group</w:t>
            </w:r>
          </w:p>
        </w:tc>
        <w:tc>
          <w:tcPr>
            <w:tcW w:type="dxa" w:w="3600"/>
            <w:shd w:fill="F1F5F9"/>
          </w:tcPr>
          <w:p>
            <w:pPr>
              <w:spacing w:before="60" w:after="60"/>
            </w:pPr>
            <w:r>
              <w:rPr>
                <w:rFonts w:ascii="Calibri" w:hAnsi="Calibri"/>
                <w:sz w:val="19"/>
              </w:rPr>
              <w:t>Agrupación lógica de consumidores que permite repartir el trabajo o asegurar que cada servicio reciba su copia del evento.</w:t>
            </w:r>
          </w:p>
        </w:tc>
        <w:tc>
          <w:tcPr>
            <w:tcW w:type="dxa" w:w="3600"/>
            <w:shd w:fill="F1F5F9"/>
          </w:tcPr>
          <w:p>
            <w:pPr>
              <w:spacing w:before="60" w:after="60"/>
            </w:pPr>
            <w:r>
              <w:rPr>
                <w:rFonts w:ascii="Calibri" w:hAnsi="Calibri"/>
                <w:sz w:val="19"/>
              </w:rPr>
              <w:t>Es como un equipo de trabajo: si hay 100 mensajes, entre los miembros del equipo se los reparten sin duplicar tareas.</w:t>
            </w:r>
          </w:p>
        </w:tc>
      </w:tr>
      <w:tr>
        <w:tc>
          <w:tcPr>
            <w:tcW w:type="dxa" w:w="2160"/>
            <w:shd w:fill="FFFFFF"/>
          </w:tcPr>
          <w:p>
            <w:pPr>
              <w:spacing w:before="60" w:after="60"/>
            </w:pPr>
            <w:r>
              <w:rPr>
                <w:rFonts w:ascii="Calibri" w:hAnsi="Calibri"/>
                <w:b/>
                <w:color w:val="1A365D"/>
                <w:sz w:val="19"/>
              </w:rPr>
              <w:t>ACK (Acknowledgment)</w:t>
            </w:r>
          </w:p>
        </w:tc>
        <w:tc>
          <w:tcPr>
            <w:tcW w:type="dxa" w:w="3600"/>
            <w:shd w:fill="FFFFFF"/>
          </w:tcPr>
          <w:p>
            <w:pPr>
              <w:spacing w:before="60" w:after="60"/>
            </w:pPr>
            <w:r>
              <w:rPr>
                <w:rFonts w:ascii="Calibri" w:hAnsi="Calibri"/>
                <w:sz w:val="19"/>
              </w:rPr>
              <w:t>Señal explícita que envía el consumidor al broker indicando que un mensaje fue procesado exitosamente.</w:t>
            </w:r>
          </w:p>
        </w:tc>
        <w:tc>
          <w:tcPr>
            <w:tcW w:type="dxa" w:w="3600"/>
            <w:shd w:fill="FFFFFF"/>
          </w:tcPr>
          <w:p>
            <w:pPr>
              <w:spacing w:before="60" w:after="60"/>
            </w:pPr>
            <w:r>
              <w:rPr>
                <w:rFonts w:ascii="Calibri" w:hAnsi="Calibri"/>
                <w:sz w:val="19"/>
              </w:rPr>
              <w:t>Es la firma de recibido cuando te entregan una encomienda: confirma que llegó bien y ya se puede archivar.</w:t>
            </w:r>
          </w:p>
        </w:tc>
      </w:tr>
      <w:tr>
        <w:tc>
          <w:tcPr>
            <w:tcW w:type="dxa" w:w="2160"/>
            <w:shd w:fill="F1F5F9"/>
          </w:tcPr>
          <w:p>
            <w:pPr>
              <w:spacing w:before="60" w:after="60"/>
            </w:pPr>
            <w:r>
              <w:rPr>
                <w:rFonts w:ascii="Calibri" w:hAnsi="Calibri"/>
                <w:b/>
                <w:color w:val="1A365D"/>
                <w:sz w:val="19"/>
              </w:rPr>
              <w:t>DLQ (Dead Letter Queue)</w:t>
            </w:r>
          </w:p>
        </w:tc>
        <w:tc>
          <w:tcPr>
            <w:tcW w:type="dxa" w:w="3600"/>
            <w:shd w:fill="F1F5F9"/>
          </w:tcPr>
          <w:p>
            <w:pPr>
              <w:spacing w:before="60" w:after="60"/>
            </w:pPr>
            <w:r>
              <w:rPr>
                <w:rFonts w:ascii="Calibri" w:hAnsi="Calibri"/>
                <w:sz w:val="19"/>
              </w:rPr>
              <w:t>Cola especial de desvío donde van a parar los mensajes que fallaron tras repetidos reintentos de procesamiento.</w:t>
            </w:r>
          </w:p>
        </w:tc>
        <w:tc>
          <w:tcPr>
            <w:tcW w:type="dxa" w:w="3600"/>
            <w:shd w:fill="F1F5F9"/>
          </w:tcPr>
          <w:p>
            <w:pPr>
              <w:spacing w:before="60" w:after="60"/>
            </w:pPr>
            <w:r>
              <w:rPr>
                <w:rFonts w:ascii="Calibri" w:hAnsi="Calibri"/>
                <w:sz w:val="19"/>
              </w:rPr>
              <w:t>Es el buzón de cartas devueltas: evita que una carta rota tranque toda la fila, guardándola para revisarla luego.</w:t>
            </w:r>
          </w:p>
        </w:tc>
      </w:tr>
      <w:tr>
        <w:tc>
          <w:tcPr>
            <w:tcW w:type="dxa" w:w="2160"/>
            <w:shd w:fill="FFFFFF"/>
          </w:tcPr>
          <w:p>
            <w:pPr>
              <w:spacing w:before="60" w:after="60"/>
            </w:pPr>
            <w:r>
              <w:rPr>
                <w:rFonts w:ascii="Calibri" w:hAnsi="Calibri"/>
                <w:b/>
                <w:color w:val="1A365D"/>
                <w:sz w:val="19"/>
              </w:rPr>
              <w:t>OpenFeign</w:t>
            </w:r>
          </w:p>
        </w:tc>
        <w:tc>
          <w:tcPr>
            <w:tcW w:type="dxa" w:w="3600"/>
            <w:shd w:fill="FFFFFF"/>
          </w:tcPr>
          <w:p>
            <w:pPr>
              <w:spacing w:before="60" w:after="60"/>
            </w:pPr>
            <w:r>
              <w:rPr>
                <w:rFonts w:ascii="Calibri" w:hAnsi="Calibri"/>
                <w:sz w:val="19"/>
              </w:rPr>
              <w:t>Cliente HTTP declarativo de Spring Cloud que simplifica el consumo de APIs REST entre microservicios.</w:t>
            </w:r>
          </w:p>
        </w:tc>
        <w:tc>
          <w:tcPr>
            <w:tcW w:type="dxa" w:w="3600"/>
            <w:shd w:fill="FFFFFF"/>
          </w:tcPr>
          <w:p>
            <w:pPr>
              <w:spacing w:before="60" w:after="60"/>
            </w:pPr>
            <w:r>
              <w:rPr>
                <w:rFonts w:ascii="Calibri" w:hAnsi="Calibri"/>
                <w:sz w:val="19"/>
              </w:rPr>
              <w:t>Es un conector inteligente que convierte una simple interfaz Java en una llamada HTTP completa hacia otro servicio.</w:t>
            </w:r>
          </w:p>
        </w:tc>
      </w:tr>
      <w:tr>
        <w:tc>
          <w:tcPr>
            <w:tcW w:type="dxa" w:w="2160"/>
            <w:shd w:fill="F1F5F9"/>
          </w:tcPr>
          <w:p>
            <w:pPr>
              <w:spacing w:before="60" w:after="60"/>
            </w:pPr>
            <w:r>
              <w:rPr>
                <w:rFonts w:ascii="Calibri" w:hAnsi="Calibri"/>
                <w:b/>
                <w:color w:val="1A365D"/>
                <w:sz w:val="19"/>
              </w:rPr>
              <w:t>API Gateway</w:t>
            </w:r>
          </w:p>
        </w:tc>
        <w:tc>
          <w:tcPr>
            <w:tcW w:type="dxa" w:w="3600"/>
            <w:shd w:fill="F1F5F9"/>
          </w:tcPr>
          <w:p>
            <w:pPr>
              <w:spacing w:before="60" w:after="60"/>
            </w:pPr>
            <w:r>
              <w:rPr>
                <w:rFonts w:ascii="Calibri" w:hAnsi="Calibri"/>
                <w:sz w:val="19"/>
              </w:rPr>
              <w:t>Punto de entrada único que centraliza autenticación, seguridad, balanceo y enrutamiento hacia los microservicios.</w:t>
            </w:r>
          </w:p>
        </w:tc>
        <w:tc>
          <w:tcPr>
            <w:tcW w:type="dxa" w:w="3600"/>
            <w:shd w:fill="F1F5F9"/>
          </w:tcPr>
          <w:p>
            <w:pPr>
              <w:spacing w:before="60" w:after="60"/>
            </w:pPr>
            <w:r>
              <w:rPr>
                <w:rFonts w:ascii="Calibri" w:hAnsi="Calibri"/>
                <w:sz w:val="19"/>
              </w:rPr>
              <w:t>Es el guardia de recepción del edificio: revisa quién eres y te indica a qué oficina debes dirigirte.</w:t>
            </w:r>
          </w:p>
        </w:tc>
      </w:tr>
    </w:tbl>
    <w:p>
      <w:pPr>
        <w:pStyle w:val="Heading1"/>
        <w:spacing w:before="280" w:after="120"/>
      </w:pPr>
      <w:r>
        <w:rPr>
          <w:rFonts w:ascii="Calibri" w:hAnsi="Calibri"/>
          <w:b/>
          <w:color w:val="1A365D"/>
          <w:sz w:val="32"/>
        </w:rPr>
        <w:t>3. GUÍA PARA EXPLICAR EL DIAGRAMA EJECUTIVO</w:t>
      </w:r>
    </w:p>
    <w:p>
      <w:r>
        <w:rPr>
          <w:rFonts w:ascii="Calibri" w:hAnsi="Calibri"/>
          <w:sz w:val="20"/>
        </w:rPr>
        <w:t>Al exponer el Diagrama Ejecutivo de Mensajería (Diagrama_Ejecutivo_Mensajeria_CatchAndGo.png), se recomienda estructurar la presentación en 4 momentos clave:</w:t>
        <w:br/>
        <w:br/>
        <w:t>1. Entrada Centralizada (API Gateway): 'El cliente web o móvil interactúa únicamente a través del API Gateway (puerto 8080). Ningún cliente externo accede directamente a las bases de datos ni a los microservicios internos, garantizando seguridad y trazabilidad.'</w:t>
        <w:br/>
        <w:br/>
        <w:t>2. La Vía Asíncrona (Publicación de Empleo): 'Cuando un empleador publica una oferta en jobs-service, la entidad se almacena en PostgreSQL y se emite de inmediato un evento en Redis Streams (jobs-stream). El empleador recibe respuesta 201 Created en menos de 40 milisegundos.'</w:t>
        <w:br/>
        <w:br/>
        <w:t>3. Consumo Desacoplado y Paralelo: 'En segundo plano, dos servicios leen este mismo evento de forma paralela mediante Consumer Groups: matching-service analiza los requisitos del trabajo para buscar candidatos, y notification-service prepara y envía notificaciones por correo o push. Si el servicio de notificaciones se reinicia o tiene lentitud, matching-service no se ve afectado.'</w:t>
        <w:br/>
        <w:br/>
        <w:t>4. La Vía Síncrona (Matching a Perfil): 'Cuando matching-service requiere validar la información fina de un candidato (habilidades, disponibilidad y puntuación), realiza una consulta HTTP directa y síncrona hacia profile-service usando Spring Cloud OpenFeign, asegurando consistencia inmediata para la asignación del turno.'</w:t>
      </w:r>
    </w:p>
    <w:p>
      <w:pPr>
        <w:pStyle w:val="Heading1"/>
        <w:spacing w:before="280" w:after="120"/>
      </w:pPr>
      <w:r>
        <w:rPr>
          <w:rFonts w:ascii="Calibri" w:hAnsi="Calibri"/>
          <w:b/>
          <w:color w:val="1A365D"/>
          <w:sz w:val="32"/>
        </w:rPr>
        <w:t>4. GUÍA PRÁCTICA DE PRUEBAS (CURL &amp; POSTMAN)</w:t>
      </w:r>
    </w:p>
    <w:p>
      <w:r>
        <w:rPr>
          <w:rFonts w:ascii="Calibri" w:hAnsi="Calibri"/>
          <w:sz w:val="19"/>
        </w:rPr>
        <w:t>Las pruebas pueden ejecutarse directamente contra el entorno en la nube en Railway (https://catchandgo-api-gateway-production.up.railway.app) o contra el entorno local (http://localhost:8080).</w:t>
        <w:br/>
        <w:br/>
        <w:t>PRUEBA 1: Flujo Síncrono (Matching consultando Perfil)</w:t>
        <w:br/>
        <w:t>Comando cURL:</w:t>
        <w:br/>
        <w:t>curl -X GET "https://catchandgo-api-gateway-production.up.railway.app/api/v1/matching/candidates/1/evaluate" -H "Accept: application/json"</w:t>
        <w:br/>
        <w:t>Resultado Esperado: Código 200 OK con JSON de perfil evaluado en tiempo real.</w:t>
        <w:br/>
        <w:br/>
        <w:t>PRUEBA 2: Flujo Asíncrono (Publicación de Empleo y emisión de Evento)</w:t>
        <w:br/>
        <w:t>Comando cURL:</w:t>
        <w:br/>
        <w:t>curl -X POST "https://catchandgo-api-gateway-production.up.railway.app/api/v1/jobs" \</w:t>
        <w:br/>
        <w:t xml:space="preserve">     -H "Content-Type: application/json" \</w:t>
        <w:br/>
        <w:t xml:space="preserve">     -d '{"title":"Reponedor Nocturno","category":"LOGISTICA","hourlyRate":6500.0,"vacancies":3,"employerId":10}'</w:t>
        <w:br/>
        <w:t>Resultado Esperado: Código 201 Created en menos de 50 ms confirmando que el evento fue despachado a Redis Streams.</w:t>
        <w:br/>
        <w:br/>
        <w:t>PRUEBA 3: Resiliencia y Auditoría de DLQ</w:t>
        <w:br/>
        <w:t>Consultar DLQ:</w:t>
        <w:br/>
        <w:t>curl -X GET "https://catchandgo-api-gateway-production.up.railway.app/api/v1/admin/dlq"</w:t>
        <w:br/>
        <w:t>Reintentar mensaje fallido:</w:t>
        <w:br/>
        <w:t>curl -X POST "https://catchandgo-api-gateway-production.up.railway.app/api/v1/admin/dlq/{id}/retry"</w:t>
        <w:br/>
        <w:br/>
        <w:t>Instructivo para Postman:</w:t>
        <w:br/>
        <w:t>1. En Postman, hacer clic en 'Import' y seleccionar 'Documentacion/Postman_Collection_CatchAndGo_Mensajeria.json'.</w:t>
        <w:br/>
        <w:t>2. En la colección, verificar que la variable 'baseUrl' apunte a la URL de Railway (o localhost:8080).</w:t>
        <w:br/>
        <w:t>3. Abrir cada una de las 3 carpetas (Síncrono, Asíncrono, DLQ) y presionar 'Send' para verificar los códigos de estado y tiempos de respuesta.</w:t>
      </w:r>
    </w:p>
    <w:p>
      <w:pPr>
        <w:pStyle w:val="Heading1"/>
        <w:spacing w:before="280" w:after="120"/>
      </w:pPr>
      <w:r>
        <w:rPr>
          <w:rFonts w:ascii="Calibri" w:hAnsi="Calibri"/>
          <w:b/>
          <w:color w:val="1A365D"/>
          <w:sz w:val="32"/>
        </w:rPr>
        <w:t>5. CÓMO REVISAR Y DEMOSTRAR LOS LOGS EN VIVO</w:t>
      </w:r>
    </w:p>
    <w:p>
      <w:r>
        <w:rPr>
          <w:rFonts w:ascii="Calibri" w:hAnsi="Calibri"/>
          <w:sz w:val="19"/>
        </w:rPr>
        <w:t>Para evidenciar ante el evaluador que los eventos se procesan en tiempo real, abrir la consola de Railway o terminal de cada servicio:</w:t>
        <w:br/>
        <w:br/>
        <w:t>1. En jobs-service (Emisor):</w:t>
        <w:br/>
        <w:t>INFO  [jobs-service] c.c.jobs.service.JobService : Job created successfully with ID: 101</w:t>
        <w:br/>
        <w:t>INFO  [jobs-service] c.c.jobs.messaging.JobEventProducer : [STREAM PRODUCER] Emitted event [job.created] to stream [jobs-stream] with ID: 1729332330125-0</w:t>
        <w:br/>
        <w:br/>
        <w:t>2. En matching-service (Consumidor 1):</w:t>
        <w:br/>
        <w:t>INFO  [matching-service] c.c.matching.consumer.JobCreatedConsumer : [STREAM CONSUMER] Received event [job.created] for Job ID: 101</w:t>
        <w:br/>
        <w:t>INFO  [matching-service] c.c.matching.service.MatchingService : Running matching algorithm for job requirements...</w:t>
        <w:br/>
        <w:t>INFO  [matching-service] c.c.matching.consumer.JobCreatedConsumer : [ACK] Message 1729332330125-0 acknowledged successfully.</w:t>
        <w:br/>
        <w:br/>
        <w:t>3. En notification-service (Consumidor 2):</w:t>
        <w:br/>
        <w:t>INFO  [notification-service] c.c.notification.consumer.NotificationConsumer : [STREAM CONSUMER] Processing job alert for category: LOGISTICA</w:t>
        <w:br/>
        <w:t>INFO  [notification-service] c.c.notification.service.EmailService : Queued push notifications to 15 workers.</w:t>
        <w:br/>
        <w:t>INFO  [notification-service] c.c.notification.consumer.NotificationConsumer : [ACK] Message 1729332330125-0 acknowledged successfully.</w:t>
      </w:r>
    </w:p>
    <w:p>
      <w:pPr>
        <w:pStyle w:val="Heading1"/>
        <w:spacing w:before="280" w:after="120"/>
      </w:pPr>
      <w:r>
        <w:rPr>
          <w:rFonts w:ascii="Calibri" w:hAnsi="Calibri"/>
          <w:b/>
          <w:color w:val="1A365D"/>
          <w:sz w:val="32"/>
        </w:rPr>
        <w:t>6. BANCO DE PREGUNTAS Y RESPUESTAS DEL EVALUADOR</w:t>
      </w:r>
    </w:p>
    <w:p>
      <w:pPr>
        <w:spacing w:before="120" w:after="40"/>
      </w:pPr>
      <w:r>
        <w:rPr>
          <w:rFonts w:ascii="Calibri" w:hAnsi="Calibri"/>
          <w:b/>
          <w:color w:val="1A365D"/>
          <w:sz w:val="20"/>
        </w:rPr>
        <w:t>• P: ¿Por qué eligieron Redis Streams y no RabbitMQ o Apache Kafka?</w:t>
      </w:r>
    </w:p>
    <w:p>
      <w:pPr>
        <w:spacing w:after="120"/>
      </w:pPr>
      <w:r>
        <w:rPr>
          <w:rFonts w:ascii="Calibri" w:hAnsi="Calibri"/>
          <w:color w:val="1E293B"/>
          <w:sz w:val="19"/>
        </w:rPr>
        <w:t xml:space="preserve">  R: Porque ya contábamos con Redis en la arquitectura para caché y sesiones. Redis Streams ofrece nativamente Consumer Groups, persistencia en disco (AOF/RDB) y ACK con latencia inferior al milisegundo, sin requerir levantar clústeres pesados adicionales como Kafka (que exige Zookeeper/KRaft y alta RAM). Además, el desacoplamiento de interfaces permite migrar a Kafka en el futuro si el volumen lo requiere.</w:t>
      </w:r>
    </w:p>
    <w:p>
      <w:pPr>
        <w:spacing w:before="120" w:after="40"/>
      </w:pPr>
      <w:r>
        <w:rPr>
          <w:rFonts w:ascii="Calibri" w:hAnsi="Calibri"/>
          <w:b/>
          <w:color w:val="1A365D"/>
          <w:sz w:val="20"/>
        </w:rPr>
        <w:t>• P: ¿Qué sucede si el servicio de notificaciones está apagado o colapsa al publicar un empleo?</w:t>
      </w:r>
    </w:p>
    <w:p>
      <w:pPr>
        <w:spacing w:after="120"/>
      </w:pPr>
      <w:r>
        <w:rPr>
          <w:rFonts w:ascii="Calibri" w:hAnsi="Calibri"/>
          <w:color w:val="1E293B"/>
          <w:sz w:val="19"/>
        </w:rPr>
        <w:t xml:space="preserve">  R: No hay pérdida de datos ni falla en la publicación: el empleador recibe su 201 Created de inmediato. El evento queda guardado de forma persistente en Redis Streams. Cuando notification-service vuelva a iniciar, su Consumer Group continuará leyendo desde el último mensaje confirmado (ACK), procesando la cola pendiente automáticamente.</w:t>
      </w:r>
    </w:p>
    <w:p>
      <w:pPr>
        <w:spacing w:before="120" w:after="40"/>
      </w:pPr>
      <w:r>
        <w:rPr>
          <w:rFonts w:ascii="Calibri" w:hAnsi="Calibri"/>
          <w:b/>
          <w:color w:val="1A365D"/>
          <w:sz w:val="20"/>
        </w:rPr>
        <w:t>• P: ¿Por qué la consulta de perfil en Matching se hizo síncrona y no asíncrona?</w:t>
      </w:r>
    </w:p>
    <w:p>
      <w:pPr>
        <w:spacing w:after="120"/>
      </w:pPr>
      <w:r>
        <w:rPr>
          <w:rFonts w:ascii="Calibri" w:hAnsi="Calibri"/>
          <w:color w:val="1E293B"/>
          <w:sz w:val="19"/>
        </w:rPr>
        <w:t xml:space="preserve">  R: Porque existe una dependencia causal inmediata: para asignar un turno urgente, el algoritmo necesita ponderar en ese instante exacto los datos actualizados del perfil. Hacerlo asíncrono dejaría al usuario esperando sin confirmación inmediata de su postulación, degradando la experiencia.</w:t>
      </w:r>
    </w:p>
    <w:p>
      <w:pPr>
        <w:spacing w:before="120" w:after="40"/>
      </w:pPr>
      <w:r>
        <w:rPr>
          <w:rFonts w:ascii="Calibri" w:hAnsi="Calibri"/>
          <w:b/>
          <w:color w:val="1A365D"/>
          <w:sz w:val="20"/>
        </w:rPr>
        <w:t>• P: ¿Cómo evitan procesar mensajes duplicados si ocurre un fallo de red (Idempotencia)?</w:t>
      </w:r>
    </w:p>
    <w:p>
      <w:pPr>
        <w:spacing w:after="120"/>
      </w:pPr>
      <w:r>
        <w:rPr>
          <w:rFonts w:ascii="Calibri" w:hAnsi="Calibri"/>
          <w:color w:val="1E293B"/>
          <w:sz w:val="19"/>
        </w:rPr>
        <w:t xml:space="preserve">  R: Cada evento transporta un eventId único. Antes de procesar la lógica de negocio, el consumidor verifica si ese ID ya fue registrado en la base de datos o en una clave de Redis. Si ya fue procesado, se emite el ACK de inmediato y se descarta el duplicado, garantizando que nunca se produzcan dobles asignaciones ni cobros duplicados.</w:t>
      </w:r>
    </w:p>
    <w:p>
      <w:pPr>
        <w:spacing w:before="120" w:after="40"/>
      </w:pPr>
      <w:r>
        <w:rPr>
          <w:rFonts w:ascii="Calibri" w:hAnsi="Calibri"/>
          <w:b/>
          <w:color w:val="1A365D"/>
          <w:sz w:val="20"/>
        </w:rPr>
        <w:t>• P: ¿Qué es un ACK y qué pasa si un consumidor nunca lo envía?</w:t>
      </w:r>
    </w:p>
    <w:p>
      <w:pPr>
        <w:spacing w:after="120"/>
      </w:pPr>
      <w:r>
        <w:rPr>
          <w:rFonts w:ascii="Calibri" w:hAnsi="Calibri"/>
          <w:color w:val="1E293B"/>
          <w:sz w:val="19"/>
        </w:rPr>
        <w:t xml:space="preserve">  R: El ACK es la confirmación que el consumidor envía al broker indicando que terminó el procesamiento. Si el consumidor muere antes del ACK, el mensaje permanece en la lista de pendientes (PEL). Mediante XAUTOCLAIM o retry workers, el mensaje huérfano se reasigna a otro consumidor para no perderlo.</w:t>
      </w:r>
    </w:p>
    <w:p>
      <w:pPr>
        <w:spacing w:before="120" w:after="40"/>
      </w:pPr>
      <w:r>
        <w:rPr>
          <w:rFonts w:ascii="Calibri" w:hAnsi="Calibri"/>
          <w:b/>
          <w:color w:val="1A365D"/>
          <w:sz w:val="20"/>
        </w:rPr>
        <w:t>• P: ¿Para qué sirve la Dead Letter Queue (DLQ)?</w:t>
      </w:r>
    </w:p>
    <w:p>
      <w:pPr>
        <w:spacing w:after="120"/>
      </w:pPr>
      <w:r>
        <w:rPr>
          <w:rFonts w:ascii="Calibri" w:hAnsi="Calibri"/>
          <w:color w:val="1E293B"/>
          <w:sz w:val="19"/>
        </w:rPr>
        <w:t xml:space="preserve">  R: Protege al sistema de los 'mensajes venenosos' (poison messages). Si un mensaje corrupto falla repetidamente (más de 3 intentos), la DLQ lo desvía a una cola aislada para evitar que bloquee el flujo regular, permitiendo al administrador auditarlo y reintentarlo desde la API de administración.</w:t>
      </w:r>
    </w:p>
    <w:p>
      <w:pPr>
        <w:spacing w:before="120" w:after="40"/>
      </w:pPr>
      <w:r>
        <w:rPr>
          <w:rFonts w:ascii="Calibri" w:hAnsi="Calibri"/>
          <w:b/>
          <w:color w:val="1A365D"/>
          <w:sz w:val="20"/>
        </w:rPr>
        <w:t>• P: ¿Cómo escala esta arquitectura si el tráfico aumenta drásticamente?</w:t>
      </w:r>
    </w:p>
    <w:p>
      <w:pPr>
        <w:spacing w:after="120"/>
      </w:pPr>
      <w:r>
        <w:rPr>
          <w:rFonts w:ascii="Calibri" w:hAnsi="Calibri"/>
          <w:color w:val="1E293B"/>
          <w:sz w:val="19"/>
        </w:rPr>
        <w:t xml:space="preserve">  R: Escala horizontalmente en dos capas: el API Gateway balancea la carga síncrona entre réplicas de microservicios, y los Consumer Groups de Redis Streams permiten repartir equitativamente los eventos entre múltiples instancias de consumidores sin duplicar trabajo.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