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jc w:val="center"/>
      </w:pPr>
      <w:r>
        <w:rPr>
          <w:rFonts w:ascii="Arial" w:cs="Arial" w:eastAsia="Arial" w:hAnsi="Arial"/>
          <w:b/>
          <w:bCs/>
          <w:color w:val="555555"/>
          <w:sz w:val="20"/>
          <w:szCs w:val="20"/>
        </w:rPr>
        <w:t xml:space="preserve">REPÚBLICA DE COLOMBIA</w:t>
      </w:r>
    </w:p>
    <w:p>
      <w:pPr>
        <w:spacing w:after="320"/>
        <w:jc w:val="center"/>
      </w:pPr>
      <w:r>
        <w:rPr>
          <w:rFonts w:ascii="Arial" w:cs="Arial" w:eastAsia="Arial" w:hAnsi="Arial"/>
          <w:color w:val="555555"/>
          <w:sz w:val="20"/>
          <w:szCs w:val="20"/>
        </w:rPr>
        <w:t xml:space="preserve">Cámara de Comercio – Documento Privado de Constitución</w:t>
      </w:r>
    </w:p>
    <w:p>
      <w:pPr>
        <w:pBdr>
          <w:top w:val="thick" w:color="1B3A6B" w:sz="12"/>
          <w:bottom w:val="thick" w:color="1B3A6B" w:sz="12"/>
        </w:pBdr>
        <w:spacing w:after="200"/>
        <w:jc w:val="center"/>
      </w:pPr>
      <w:r>
        <w:rPr>
          <w:rFonts w:ascii="Arial" w:cs="Arial" w:eastAsia="Arial" w:hAnsi="Arial"/>
          <w:b/>
          <w:bCs/>
          <w:color w:val="1B3A6B"/>
          <w:sz w:val="40"/>
          <w:szCs w:val="40"/>
        </w:rPr>
        <w:t xml:space="preserve">ESTATUTOS SOCIALES</w:t>
      </w:r>
    </w:p>
    <w:p>
      <w:pPr>
        <w:spacing w:after="120"/>
        <w:jc w:val="center"/>
      </w:pPr>
      <w:r>
        <w:rPr>
          <w:rFonts w:ascii="Arial" w:cs="Arial" w:eastAsia="Arial" w:hAnsi="Arial"/>
          <w:b/>
          <w:bCs/>
          <w:color w:val="2E5FA3"/>
          <w:sz w:val="30"/>
          <w:szCs w:val="30"/>
        </w:rPr>
        <w:t xml:space="preserve">SOCIEDAD POR ACCIONES SIMPLIFICADA</w:t>
      </w:r>
    </w:p>
    <w:p>
      <w:pPr>
        <w:spacing w:after="80"/>
        <w:jc w:val="center"/>
      </w:pPr>
      <w:r>
        <w:rPr>
          <w:rFonts w:ascii="Arial" w:cs="Arial" w:eastAsia="Arial" w:hAnsi="Arial"/>
          <w:b/>
          <w:bCs/>
          <w:color w:val="2E5FA3"/>
          <w:sz w:val="26"/>
          <w:szCs w:val="26"/>
        </w:rPr>
        <w:t xml:space="preserve">(S.A.S.)</w:t>
      </w:r>
    </w:p>
    <w:p>
      <w:pPr>
        <w:spacing w:after="80"/>
      </w:pPr>
      <w:r>
        <w:t xml:space="preserve"/>
      </w:r>
    </w:p>
    <w:p>
      <w:pPr>
        <w:spacing w:after="80"/>
        <w:jc w:val="center"/>
      </w:pPr>
      <w:r>
        <w:rPr>
          <w:rFonts w:ascii="Arial" w:cs="Arial" w:eastAsia="Arial" w:hAnsi="Arial"/>
          <w:color w:val="555555"/>
          <w:sz w:val="22"/>
          <w:szCs w:val="22"/>
        </w:rPr>
        <w:t xml:space="preserve">Razón Social: </w:t>
      </w:r>
      <w:r>
        <w:rPr>
          <w:rFonts w:ascii="Arial" w:cs="Arial" w:eastAsia="Arial" w:hAnsi="Arial"/>
          <w:b/>
          <w:bCs/>
          <w:color w:val="C0392B"/>
          <w:sz w:val="22"/>
          <w:szCs w:val="22"/>
          <w:u w:val="single"/>
        </w:rPr>
        <w:t xml:space="preserve"> [NOMBRE COMPLETO DE LA SOCIEDAD] </w:t>
      </w:r>
      <w:r>
        <w:rPr>
          <w:rFonts w:ascii="Arial" w:cs="Arial" w:eastAsia="Arial" w:hAnsi="Arial"/>
          <w:b/>
          <w:bCs/>
          <w:color w:val="222222"/>
          <w:sz w:val="22"/>
          <w:szCs w:val="22"/>
        </w:rPr>
        <w:t xml:space="preserve"> S.A.S.</w:t>
      </w:r>
    </w:p>
    <w:p>
      <w:pPr>
        <w:spacing w:after="80"/>
        <w:jc w:val="center"/>
      </w:pPr>
      <w:r>
        <w:rPr>
          <w:rFonts w:ascii="Arial" w:cs="Arial" w:eastAsia="Arial" w:hAnsi="Arial"/>
          <w:color w:val="555555"/>
          <w:sz w:val="22"/>
          <w:szCs w:val="22"/>
        </w:rPr>
        <w:t xml:space="preserve">Ciudad de Constitución: </w:t>
      </w:r>
      <w:r>
        <w:rPr>
          <w:rFonts w:ascii="Arial" w:cs="Arial" w:eastAsia="Arial" w:hAnsi="Arial"/>
          <w:b/>
          <w:bCs/>
          <w:color w:val="C0392B"/>
          <w:sz w:val="22"/>
          <w:szCs w:val="22"/>
          <w:u w:val="single"/>
        </w:rPr>
        <w:t xml:space="preserve"> [CIUDAD] </w:t>
      </w:r>
    </w:p>
    <w:p>
      <w:pPr>
        <w:spacing w:after="80"/>
        <w:jc w:val="center"/>
      </w:pPr>
      <w:r>
        <w:rPr>
          <w:rFonts w:ascii="Arial" w:cs="Arial" w:eastAsia="Arial" w:hAnsi="Arial"/>
          <w:color w:val="555555"/>
          <w:sz w:val="22"/>
          <w:szCs w:val="22"/>
        </w:rPr>
        <w:t xml:space="preserve">Fecha de Suscripción: </w:t>
      </w:r>
      <w:r>
        <w:rPr>
          <w:rFonts w:ascii="Arial" w:cs="Arial" w:eastAsia="Arial" w:hAnsi="Arial"/>
          <w:b/>
          <w:bCs/>
          <w:color w:val="C0392B"/>
          <w:sz w:val="22"/>
          <w:szCs w:val="22"/>
          <w:u w:val="single"/>
        </w:rPr>
        <w:t xml:space="preserve"> [DD/MM/AAAA] </w:t>
      </w:r>
    </w:p>
    <w:p>
      <w:pPr>
        <w:spacing w:after="80"/>
      </w:pPr>
      <w:r>
        <w:t xml:space="preserve"/>
      </w:r>
    </w:p>
    <w:p>
      <w:pPr>
        <w:spacing w:after="80"/>
        <w:jc w:val="center"/>
      </w:pPr>
      <w:r>
        <w:rPr>
          <w:rFonts w:ascii="Arial" w:cs="Arial" w:eastAsia="Arial" w:hAnsi="Arial"/>
          <w:color w:val="1B3A6B"/>
          <w:sz w:val="22"/>
          <w:szCs w:val="22"/>
        </w:rPr>
        <w:t xml:space="preserve">━━━━━━━━━━━━━━━━━━━━━━━━━━━━━━</w:t>
      </w:r>
    </w:p>
    <w:p>
      <w:pPr>
        <w:spacing w:after="320"/>
        <w:jc w:val="center"/>
      </w:pPr>
      <w:r>
        <w:rPr>
          <w:rFonts w:ascii="Arial" w:cs="Arial" w:eastAsia="Arial" w:hAnsi="Arial"/>
          <w:i/>
          <w:iCs/>
          <w:color w:val="555555"/>
          <w:sz w:val="18"/>
          <w:szCs w:val="18"/>
        </w:rPr>
        <w:t xml:space="preserve">Documento sujeto a revisión legal antes de su firma y registro</w:t>
      </w:r>
    </w:p>
    <w:p>
      <w:pPr>
        <w:pBdr>
          <w:bottom w:val="single" w:color="CCCCCC" w:sz="2" w:space="1"/>
        </w:pBdr>
        <w:spacing w:after="120" w:before="120"/>
      </w:pPr>
      <w:r>
        <w:t xml:space="preserve"/>
      </w:r>
    </w:p>
    <w:p>
      <w:pPr>
        <w:pStyle w:val="Heading1"/>
      </w:pPr>
      <w:r>
        <w:t xml:space="preserve">NOTA PRELIMINAR</w:t>
      </w:r>
    </w:p>
    <w:p>
      <w:pPr>
        <w:spacing w:after="160" w:line="276"/>
        <w:jc w:val="both"/>
      </w:pPr>
      <w:r>
        <w:rPr>
          <w:rFonts w:ascii="Arial" w:cs="Arial" w:eastAsia="Arial" w:hAnsi="Arial"/>
          <w:b w:val="false"/>
          <w:bCs w:val="false"/>
          <w:color w:val="222222"/>
          <w:sz w:val="22"/>
          <w:szCs w:val="22"/>
        </w:rPr>
        <w:t xml:space="preserve">Los campos marcados en rojo entre corchetes [   ] deben ser completados con la información específica de los constituyentes antes de la firma y registro del documento ante la Cámara de Comercio competente. Este borrador ha sido redactado conforme a la Ley 1258 de 2008 (Ley SAS de Colombia) y demás normas concordantes del Código de Comercio colombiano.</w:t>
      </w:r>
    </w:p>
    <w:p>
      <w:pPr>
        <w:pBdr>
          <w:bottom w:val="single" w:color="CCCCCC" w:sz="2" w:space="1"/>
        </w:pBdr>
        <w:spacing w:after="120" w:before="120"/>
      </w:pPr>
      <w:r>
        <w:t xml:space="preserve"/>
      </w:r>
    </w:p>
    <w:p>
      <w:pPr>
        <w:pStyle w:val="Heading1"/>
      </w:pPr>
      <w:r>
        <w:t xml:space="preserve">CAPÍTULO I – CONSTITUCIÓN, DENOMINACIÓN, DOMICILIO Y DURACIÓN</w:t>
      </w:r>
    </w:p>
    <w:p>
      <w:pPr>
        <w:spacing w:after="80" w:before="200"/>
      </w:pPr>
      <w:r>
        <w:rPr>
          <w:rFonts w:ascii="Arial" w:cs="Arial" w:eastAsia="Arial" w:hAnsi="Arial"/>
          <w:b/>
          <w:bCs/>
          <w:color w:val="1B3A6B"/>
          <w:sz w:val="22"/>
          <w:szCs w:val="22"/>
        </w:rPr>
        <w:t xml:space="preserve">ARTÍCULO 1. </w:t>
      </w:r>
      <w:r>
        <w:rPr>
          <w:rFonts w:ascii="Arial" w:cs="Arial" w:eastAsia="Arial" w:hAnsi="Arial"/>
          <w:b/>
          <w:bCs/>
          <w:color w:val="222222"/>
          <w:sz w:val="22"/>
          <w:szCs w:val="22"/>
          <w:u w:val="single"/>
        </w:rPr>
        <w:t xml:space="preserve">CONSTITUCIÓN Y NATURALEZA JURÍDICA. </w:t>
      </w:r>
    </w:p>
    <w:p>
      <w:pPr>
        <w:spacing w:after="160" w:line="276"/>
        <w:ind w:left="360"/>
        <w:jc w:val="both"/>
      </w:pPr>
      <w:r>
        <w:rPr>
          <w:rFonts w:ascii="Arial" w:cs="Arial" w:eastAsia="Arial" w:hAnsi="Arial"/>
          <w:color w:val="222222"/>
          <w:sz w:val="22"/>
          <w:szCs w:val="22"/>
        </w:rPr>
        <w:t xml:space="preserve">Por medio del presente documento privado, los suscritos accionistas fundadores deciden constituir una Sociedad por Acciones Simplificada (S.A.S.) de conformidad con lo establecido en la Ley 1258 de 2008 y demás normas concordantes del ordenamiento jurídico colombiano. La sociedad tendrá naturaleza comercial y se regirá por las disposiciones contenidas en los presentes estatutos y, supletoriamente, por las normas del Código de Comercio colombiano.</w:t>
      </w:r>
    </w:p>
    <w:p>
      <w:pPr>
        <w:spacing w:after="80" w:before="200"/>
      </w:pPr>
      <w:r>
        <w:rPr>
          <w:rFonts w:ascii="Arial" w:cs="Arial" w:eastAsia="Arial" w:hAnsi="Arial"/>
          <w:b/>
          <w:bCs/>
          <w:color w:val="1B3A6B"/>
          <w:sz w:val="22"/>
          <w:szCs w:val="22"/>
        </w:rPr>
        <w:t xml:space="preserve">ARTÍCULO 2. </w:t>
      </w:r>
      <w:r>
        <w:rPr>
          <w:rFonts w:ascii="Arial" w:cs="Arial" w:eastAsia="Arial" w:hAnsi="Arial"/>
          <w:b/>
          <w:bCs/>
          <w:color w:val="222222"/>
          <w:sz w:val="22"/>
          <w:szCs w:val="22"/>
          <w:u w:val="single"/>
        </w:rPr>
        <w:t xml:space="preserve">DENOMINACIÓN SOCIAL. </w:t>
      </w:r>
    </w:p>
    <w:p>
      <w:pPr>
        <w:spacing w:after="160" w:line="276"/>
        <w:ind w:left="360"/>
        <w:jc w:val="both"/>
      </w:pPr>
      <w:r>
        <w:rPr>
          <w:rFonts w:ascii="Arial" w:cs="Arial" w:eastAsia="Arial" w:hAnsi="Arial"/>
          <w:color w:val="222222"/>
          <w:sz w:val="22"/>
          <w:szCs w:val="22"/>
        </w:rPr>
        <w:t xml:space="preserve">La sociedad girará bajo la denominación social </w:t>
      </w:r>
      <w:r>
        <w:rPr>
          <w:rFonts w:ascii="Arial" w:cs="Arial" w:eastAsia="Arial" w:hAnsi="Arial"/>
          <w:b/>
          <w:bCs/>
          <w:color w:val="C0392B"/>
          <w:sz w:val="22"/>
          <w:szCs w:val="22"/>
          <w:u w:val="single"/>
        </w:rPr>
        <w:t xml:space="preserve"> [NOMBRE COMPLETO DE LA SOCIEDAD] </w:t>
      </w:r>
      <w:r>
        <w:rPr>
          <w:rFonts w:ascii="Arial" w:cs="Arial" w:eastAsia="Arial" w:hAnsi="Arial"/>
          <w:color w:val="222222"/>
          <w:sz w:val="22"/>
          <w:szCs w:val="22"/>
        </w:rPr>
        <w:t xml:space="preserve"> S.A.S., con Número de Identificación Tributaria (NIT) asignado por la Dirección de Impuestos y Aduanas Nacionales (DIAN) una vez efectuado el registro ante la Cámara de Comercio correspondiente.</w:t>
      </w:r>
    </w:p>
    <w:p>
      <w:pPr>
        <w:spacing w:after="80" w:before="200"/>
      </w:pPr>
      <w:r>
        <w:rPr>
          <w:rFonts w:ascii="Arial" w:cs="Arial" w:eastAsia="Arial" w:hAnsi="Arial"/>
          <w:b/>
          <w:bCs/>
          <w:color w:val="1B3A6B"/>
          <w:sz w:val="22"/>
          <w:szCs w:val="22"/>
        </w:rPr>
        <w:t xml:space="preserve">ARTÍCULO 3. </w:t>
      </w:r>
      <w:r>
        <w:rPr>
          <w:rFonts w:ascii="Arial" w:cs="Arial" w:eastAsia="Arial" w:hAnsi="Arial"/>
          <w:b/>
          <w:bCs/>
          <w:color w:val="222222"/>
          <w:sz w:val="22"/>
          <w:szCs w:val="22"/>
          <w:u w:val="single"/>
        </w:rPr>
        <w:t xml:space="preserve">DOMICILIO SOCIAL. </w:t>
      </w:r>
    </w:p>
    <w:p>
      <w:pPr>
        <w:spacing w:after="160" w:line="276"/>
        <w:ind w:left="360"/>
        <w:jc w:val="both"/>
      </w:pPr>
      <w:r>
        <w:rPr>
          <w:rFonts w:ascii="Arial" w:cs="Arial" w:eastAsia="Arial" w:hAnsi="Arial"/>
          <w:color w:val="222222"/>
          <w:sz w:val="22"/>
          <w:szCs w:val="22"/>
        </w:rPr>
        <w:t xml:space="preserve">El domicilio principal de la sociedad será la ciudad de </w:t>
      </w:r>
      <w:r>
        <w:rPr>
          <w:rFonts w:ascii="Arial" w:cs="Arial" w:eastAsia="Arial" w:hAnsi="Arial"/>
          <w:b/>
          <w:bCs/>
          <w:color w:val="C0392B"/>
          <w:sz w:val="22"/>
          <w:szCs w:val="22"/>
          <w:u w:val="single"/>
        </w:rPr>
        <w:t xml:space="preserve"> [CIUDAD] </w:t>
      </w:r>
      <w:r>
        <w:rPr>
          <w:rFonts w:ascii="Arial" w:cs="Arial" w:eastAsia="Arial" w:hAnsi="Arial"/>
          <w:color w:val="222222"/>
          <w:sz w:val="22"/>
          <w:szCs w:val="22"/>
        </w:rPr>
        <w:t xml:space="preserve">, República de Colombia. La sociedad podrá establecer sucursales, agencias u oficinas en cualquier lugar del territorio nacional o en el exterior, mediante decisión de la Asamblea de Accionistas o del Representante Legal, según el caso, de conformidad con los procedimientos legales aplicables.</w:t>
      </w:r>
    </w:p>
    <w:p>
      <w:pPr>
        <w:spacing w:after="80" w:before="200"/>
      </w:pPr>
      <w:r>
        <w:rPr>
          <w:rFonts w:ascii="Arial" w:cs="Arial" w:eastAsia="Arial" w:hAnsi="Arial"/>
          <w:b/>
          <w:bCs/>
          <w:color w:val="1B3A6B"/>
          <w:sz w:val="22"/>
          <w:szCs w:val="22"/>
        </w:rPr>
        <w:t xml:space="preserve">ARTÍCULO 4. </w:t>
      </w:r>
      <w:r>
        <w:rPr>
          <w:rFonts w:ascii="Arial" w:cs="Arial" w:eastAsia="Arial" w:hAnsi="Arial"/>
          <w:b/>
          <w:bCs/>
          <w:color w:val="222222"/>
          <w:sz w:val="22"/>
          <w:szCs w:val="22"/>
          <w:u w:val="single"/>
        </w:rPr>
        <w:t xml:space="preserve">DURACIÓN. </w:t>
      </w:r>
    </w:p>
    <w:p>
      <w:pPr>
        <w:spacing w:after="160" w:line="276"/>
        <w:ind w:left="360"/>
        <w:jc w:val="both"/>
      </w:pPr>
      <w:r>
        <w:rPr>
          <w:rFonts w:ascii="Arial" w:cs="Arial" w:eastAsia="Arial" w:hAnsi="Arial"/>
          <w:color w:val="222222"/>
          <w:sz w:val="22"/>
          <w:szCs w:val="22"/>
        </w:rPr>
        <w:t xml:space="preserve">La sociedad tendrá una duración indefinida, sin perjuicio de que pueda disolverse anticipadamente por las causales y mediante los procedimientos establecidos en la ley y en los presentes estatutos. La duración indefinida no impedirá la adopción de plazos específicos para proyectos, contratos u operaciones determinadas de la sociedad.</w:t>
      </w:r>
    </w:p>
    <w:p>
      <w:pPr>
        <w:pBdr>
          <w:bottom w:val="single" w:color="CCCCCC" w:sz="2" w:space="1"/>
        </w:pBdr>
        <w:spacing w:after="120" w:before="120"/>
      </w:pPr>
      <w:r>
        <w:t xml:space="preserve"/>
      </w:r>
    </w:p>
    <w:p>
      <w:pPr>
        <w:pStyle w:val="Heading1"/>
      </w:pPr>
      <w:r>
        <w:t xml:space="preserve">CAPÍTULO II – OBJETO SOCIAL</w:t>
      </w:r>
    </w:p>
    <w:p>
      <w:pPr>
        <w:spacing w:after="80" w:before="200"/>
      </w:pPr>
      <w:r>
        <w:rPr>
          <w:rFonts w:ascii="Arial" w:cs="Arial" w:eastAsia="Arial" w:hAnsi="Arial"/>
          <w:b/>
          <w:bCs/>
          <w:color w:val="1B3A6B"/>
          <w:sz w:val="22"/>
          <w:szCs w:val="22"/>
        </w:rPr>
        <w:t xml:space="preserve">ARTÍCULO 5. </w:t>
      </w:r>
      <w:r>
        <w:rPr>
          <w:rFonts w:ascii="Arial" w:cs="Arial" w:eastAsia="Arial" w:hAnsi="Arial"/>
          <w:b/>
          <w:bCs/>
          <w:color w:val="222222"/>
          <w:sz w:val="22"/>
          <w:szCs w:val="22"/>
          <w:u w:val="single"/>
        </w:rPr>
        <w:t xml:space="preserve">OBJETO SOCIAL PRINCIPAL. </w:t>
      </w:r>
    </w:p>
    <w:p>
      <w:pPr>
        <w:spacing w:after="160" w:line="276"/>
        <w:jc w:val="both"/>
      </w:pPr>
      <w:r>
        <w:rPr>
          <w:rFonts w:ascii="Arial" w:cs="Arial" w:eastAsia="Arial" w:hAnsi="Arial"/>
          <w:b w:val="false"/>
          <w:bCs w:val="false"/>
          <w:color w:val="222222"/>
          <w:sz w:val="22"/>
          <w:szCs w:val="22"/>
        </w:rPr>
        <w:t xml:space="preserve">El objeto social principal de la sociedad comprende las siguientes actividades:</w:t>
      </w:r>
    </w:p>
    <w:p>
      <w:pPr>
        <w:pStyle w:val="ListParagraph"/>
        <w:numPr>
          <w:ilvl w:val="0"/>
          <w:numId w:val="2"/>
        </w:numPr>
        <w:spacing w:after="80" w:line="276"/>
      </w:pPr>
      <w:r>
        <w:rPr>
          <w:rFonts w:ascii="Arial" w:cs="Arial" w:eastAsia="Arial" w:hAnsi="Arial"/>
          <w:color w:val="222222"/>
          <w:sz w:val="22"/>
          <w:szCs w:val="22"/>
        </w:rPr>
        <w:t xml:space="preserve">Diseño, desarrollo, implementación, mantenimiento y comercialización de software, aplicaciones móviles, plataformas digitales, sistemas de información, inteligencia artificial y soluciones tecnológicas a medida.</w:t>
      </w:r>
    </w:p>
    <w:p>
      <w:pPr>
        <w:pStyle w:val="ListParagraph"/>
        <w:numPr>
          <w:ilvl w:val="0"/>
          <w:numId w:val="2"/>
        </w:numPr>
        <w:spacing w:after="80" w:line="276"/>
      </w:pPr>
      <w:r>
        <w:rPr>
          <w:rFonts w:ascii="Arial" w:cs="Arial" w:eastAsia="Arial" w:hAnsi="Arial"/>
          <w:color w:val="222222"/>
          <w:sz w:val="22"/>
          <w:szCs w:val="22"/>
        </w:rPr>
        <w:t xml:space="preserve">Consultoría e implementación en tecnologías de la información (TI), transformación digital, arquitectura de sistemas, computación en la nube (cloud computing) y gestión de infraestructura tecnológica.</w:t>
      </w:r>
    </w:p>
    <w:p>
      <w:pPr>
        <w:pStyle w:val="ListParagraph"/>
        <w:numPr>
          <w:ilvl w:val="0"/>
          <w:numId w:val="2"/>
        </w:numPr>
        <w:spacing w:after="80" w:line="276"/>
      </w:pPr>
      <w:r>
        <w:rPr>
          <w:rFonts w:ascii="Arial" w:cs="Arial" w:eastAsia="Arial" w:hAnsi="Arial"/>
          <w:color w:val="222222"/>
          <w:sz w:val="22"/>
          <w:szCs w:val="22"/>
        </w:rPr>
        <w:t xml:space="preserve">Servicios de ciberseguridad, seguridad informática, auditoría de sistemas, pruebas de penetración (pentesting), gestión de vulnerabilidades y respuesta a incidentes de seguridad.</w:t>
      </w:r>
    </w:p>
    <w:p>
      <w:pPr>
        <w:pStyle w:val="ListParagraph"/>
        <w:numPr>
          <w:ilvl w:val="0"/>
          <w:numId w:val="2"/>
        </w:numPr>
        <w:spacing w:after="80" w:line="276"/>
      </w:pPr>
      <w:r>
        <w:rPr>
          <w:rFonts w:ascii="Arial" w:cs="Arial" w:eastAsia="Arial" w:hAnsi="Arial"/>
          <w:color w:val="222222"/>
          <w:sz w:val="22"/>
          <w:szCs w:val="22"/>
        </w:rPr>
        <w:t xml:space="preserve">Comercialización, licenciamiento, distribución y suscripción de software propio y de terceros, incluyendo Software como Servicio (SaaS), plataformas como servicio (PaaS) e infraestructura como servicio (IaaS).</w:t>
      </w:r>
    </w:p>
    <w:p>
      <w:pPr>
        <w:pStyle w:val="ListParagraph"/>
        <w:numPr>
          <w:ilvl w:val="0"/>
          <w:numId w:val="2"/>
        </w:numPr>
        <w:spacing w:after="80" w:line="276"/>
      </w:pPr>
      <w:r>
        <w:rPr>
          <w:rFonts w:ascii="Arial" w:cs="Arial" w:eastAsia="Arial" w:hAnsi="Arial"/>
          <w:color w:val="222222"/>
          <w:sz w:val="22"/>
          <w:szCs w:val="22"/>
        </w:rPr>
        <w:t xml:space="preserve">Investigación, desarrollo e innovación tecnológica (I+D+i) en el campo de las tecnologías de la información y la comunicación.</w:t>
      </w:r>
    </w:p>
    <w:p>
      <w:pPr>
        <w:pStyle w:val="ListParagraph"/>
        <w:numPr>
          <w:ilvl w:val="0"/>
          <w:numId w:val="2"/>
        </w:numPr>
        <w:spacing w:after="80" w:line="276"/>
      </w:pPr>
      <w:r>
        <w:rPr>
          <w:rFonts w:ascii="Arial" w:cs="Arial" w:eastAsia="Arial" w:hAnsi="Arial"/>
          <w:color w:val="222222"/>
          <w:sz w:val="22"/>
          <w:szCs w:val="22"/>
        </w:rPr>
        <w:t xml:space="preserve">Formación, capacitación y transferencia de conocimiento en materias relacionadas con tecnologías de la información.</w:t>
      </w:r>
    </w:p>
    <w:p>
      <w:pPr>
        <w:pStyle w:val="ListParagraph"/>
        <w:numPr>
          <w:ilvl w:val="0"/>
          <w:numId w:val="2"/>
        </w:numPr>
        <w:spacing w:after="80" w:line="276"/>
      </w:pPr>
      <w:r>
        <w:rPr>
          <w:rFonts w:ascii="Arial" w:cs="Arial" w:eastAsia="Arial" w:hAnsi="Arial"/>
          <w:color w:val="222222"/>
          <w:sz w:val="22"/>
          <w:szCs w:val="22"/>
        </w:rPr>
        <w:t xml:space="preserve">Cualquier actividad comercial, industrial o de servicios que sea lícita, conexa o complementaria a las anteriores, o que represente una diversificación razonable del objeto principal.</w:t>
      </w:r>
    </w:p>
    <w:p>
      <w:pPr>
        <w:spacing w:after="80"/>
      </w:pPr>
      <w:r>
        <w:t xml:space="preserve"/>
      </w:r>
    </w:p>
    <w:p>
      <w:pPr>
        <w:spacing w:after="160" w:line="276"/>
        <w:jc w:val="both"/>
      </w:pPr>
      <w:r>
        <w:rPr>
          <w:rFonts w:ascii="Arial" w:cs="Arial" w:eastAsia="Arial" w:hAnsi="Arial"/>
          <w:b w:val="false"/>
          <w:bCs w:val="false"/>
          <w:color w:val="222222"/>
          <w:sz w:val="22"/>
          <w:szCs w:val="22"/>
        </w:rPr>
        <w:t xml:space="preserve">PARÁGRAFO: Para el cabal cumplimiento de su objeto social, la sociedad podrá adquirir, enajenar, arrendar o gravar bienes muebles e inmuebles; celebrar contratos de cualquier naturaleza con personas naturales o jurídicas, nacionales o extranjeras; constituir o participar en otras sociedades; y realizar todas las operaciones y actos jurídicos autorizados por la ley.</w:t>
      </w:r>
    </w:p>
    <w:p>
      <w:pPr>
        <w:pBdr>
          <w:bottom w:val="single" w:color="CCCCCC" w:sz="2" w:space="1"/>
        </w:pBdr>
        <w:spacing w:after="120" w:before="120"/>
      </w:pPr>
      <w:r>
        <w:t xml:space="preserve"/>
      </w:r>
    </w:p>
    <w:p>
      <w:pPr>
        <w:pStyle w:val="Heading1"/>
      </w:pPr>
      <w:r>
        <w:t xml:space="preserve">CAPÍTULO III – CAPITAL SOCIAL Y ESTRUCTURA ACCIONARIA</w:t>
      </w:r>
    </w:p>
    <w:p>
      <w:pPr>
        <w:spacing w:after="80" w:before="200"/>
      </w:pPr>
      <w:r>
        <w:rPr>
          <w:rFonts w:ascii="Arial" w:cs="Arial" w:eastAsia="Arial" w:hAnsi="Arial"/>
          <w:b/>
          <w:bCs/>
          <w:color w:val="1B3A6B"/>
          <w:sz w:val="22"/>
          <w:szCs w:val="22"/>
        </w:rPr>
        <w:t xml:space="preserve">ARTÍCULO 6. </w:t>
      </w:r>
      <w:r>
        <w:rPr>
          <w:rFonts w:ascii="Arial" w:cs="Arial" w:eastAsia="Arial" w:hAnsi="Arial"/>
          <w:b/>
          <w:bCs/>
          <w:color w:val="222222"/>
          <w:sz w:val="22"/>
          <w:szCs w:val="22"/>
          <w:u w:val="single"/>
        </w:rPr>
        <w:t xml:space="preserve">CAPITAL AUTORIZADO, SUSCRITO Y PAGADO. </w:t>
      </w:r>
    </w:p>
    <w:p>
      <w:pPr>
        <w:spacing w:after="120" w:line="276"/>
        <w:ind w:left="360"/>
        <w:jc w:val="both"/>
      </w:pPr>
      <w:r>
        <w:rPr>
          <w:rFonts w:ascii="Arial" w:cs="Arial" w:eastAsia="Arial" w:hAnsi="Arial"/>
          <w:color w:val="222222"/>
          <w:sz w:val="22"/>
          <w:szCs w:val="22"/>
        </w:rPr>
        <w:t xml:space="preserve">El capital autorizado de la sociedad es de </w:t>
      </w:r>
      <w:r>
        <w:rPr>
          <w:rFonts w:ascii="Arial" w:cs="Arial" w:eastAsia="Arial" w:hAnsi="Arial"/>
          <w:b/>
          <w:bCs/>
          <w:color w:val="C0392B"/>
          <w:sz w:val="22"/>
          <w:szCs w:val="22"/>
          <w:u w:val="single"/>
        </w:rPr>
        <w:t xml:space="preserve"> [MONTO EN PESOS COLOMBIANOS (COP)] </w:t>
      </w:r>
      <w:r>
        <w:rPr>
          <w:rFonts w:ascii="Arial" w:cs="Arial" w:eastAsia="Arial" w:hAnsi="Arial"/>
          <w:color w:val="222222"/>
          <w:sz w:val="22"/>
          <w:szCs w:val="22"/>
        </w:rPr>
        <w:t xml:space="preserve">, dividido en </w:t>
      </w:r>
      <w:r>
        <w:rPr>
          <w:rFonts w:ascii="Arial" w:cs="Arial" w:eastAsia="Arial" w:hAnsi="Arial"/>
          <w:b/>
          <w:bCs/>
          <w:color w:val="C0392B"/>
          <w:sz w:val="22"/>
          <w:szCs w:val="22"/>
          <w:u w:val="single"/>
        </w:rPr>
        <w:t xml:space="preserve"> [NÚMERO TOTAL] </w:t>
      </w:r>
      <w:r>
        <w:rPr>
          <w:rFonts w:ascii="Arial" w:cs="Arial" w:eastAsia="Arial" w:hAnsi="Arial"/>
          <w:color w:val="222222"/>
          <w:sz w:val="22"/>
          <w:szCs w:val="22"/>
        </w:rPr>
        <w:t xml:space="preserve"> acciones de valor nominal de </w:t>
      </w:r>
      <w:r>
        <w:rPr>
          <w:rFonts w:ascii="Arial" w:cs="Arial" w:eastAsia="Arial" w:hAnsi="Arial"/>
          <w:b/>
          <w:bCs/>
          <w:color w:val="C0392B"/>
          <w:sz w:val="22"/>
          <w:szCs w:val="22"/>
          <w:u w:val="single"/>
        </w:rPr>
        <w:t xml:space="preserve"> [VALOR NOMINAL POR ACCIÓN] </w:t>
      </w:r>
      <w:r>
        <w:rPr>
          <w:rFonts w:ascii="Arial" w:cs="Arial" w:eastAsia="Arial" w:hAnsi="Arial"/>
          <w:color w:val="222222"/>
          <w:sz w:val="22"/>
          <w:szCs w:val="22"/>
        </w:rPr>
        <w:t xml:space="preserve"> pesos ($</w:t>
      </w:r>
      <w:r>
        <w:rPr>
          <w:rFonts w:ascii="Arial" w:cs="Arial" w:eastAsia="Arial" w:hAnsi="Arial"/>
          <w:b/>
          <w:bCs/>
          <w:color w:val="C0392B"/>
          <w:sz w:val="22"/>
          <w:szCs w:val="22"/>
          <w:u w:val="single"/>
        </w:rPr>
        <w:t xml:space="preserve"> [VALOR] </w:t>
      </w:r>
      <w:r>
        <w:rPr>
          <w:rFonts w:ascii="Arial" w:cs="Arial" w:eastAsia="Arial" w:hAnsi="Arial"/>
          <w:color w:val="222222"/>
          <w:sz w:val="22"/>
          <w:szCs w:val="22"/>
        </w:rPr>
        <w:t xml:space="preserve">) cada una. Al momento de la constitución, el capital suscrito es de </w:t>
      </w:r>
      <w:r>
        <w:rPr>
          <w:rFonts w:ascii="Arial" w:cs="Arial" w:eastAsia="Arial" w:hAnsi="Arial"/>
          <w:b/>
          <w:bCs/>
          <w:color w:val="C0392B"/>
          <w:sz w:val="22"/>
          <w:szCs w:val="22"/>
          <w:u w:val="single"/>
        </w:rPr>
        <w:t xml:space="preserve"> [MONTO SUSCRITO COP] </w:t>
      </w:r>
      <w:r>
        <w:rPr>
          <w:rFonts w:ascii="Arial" w:cs="Arial" w:eastAsia="Arial" w:hAnsi="Arial"/>
          <w:color w:val="222222"/>
          <w:sz w:val="22"/>
          <w:szCs w:val="22"/>
        </w:rPr>
        <w:t xml:space="preserve"> y el capital pagado es de </w:t>
      </w:r>
      <w:r>
        <w:rPr>
          <w:rFonts w:ascii="Arial" w:cs="Arial" w:eastAsia="Arial" w:hAnsi="Arial"/>
          <w:b/>
          <w:bCs/>
          <w:color w:val="C0392B"/>
          <w:sz w:val="22"/>
          <w:szCs w:val="22"/>
          <w:u w:val="single"/>
        </w:rPr>
        <w:t xml:space="preserve"> [MONTO PAGADO COP] </w:t>
      </w:r>
      <w:r>
        <w:rPr>
          <w:rFonts w:ascii="Arial" w:cs="Arial" w:eastAsia="Arial" w:hAnsi="Arial"/>
          <w:color w:val="222222"/>
          <w:sz w:val="22"/>
          <w:szCs w:val="22"/>
        </w:rPr>
        <w:t xml:space="preserve">.</w:t>
      </w:r>
    </w:p>
    <w:p>
      <w:pPr>
        <w:spacing w:after="80" w:before="200"/>
      </w:pPr>
      <w:r>
        <w:rPr>
          <w:rFonts w:ascii="Arial" w:cs="Arial" w:eastAsia="Arial" w:hAnsi="Arial"/>
          <w:b/>
          <w:bCs/>
          <w:color w:val="1B3A6B"/>
          <w:sz w:val="22"/>
          <w:szCs w:val="22"/>
        </w:rPr>
        <w:t xml:space="preserve">ARTÍCULO 7. </w:t>
      </w:r>
      <w:r>
        <w:rPr>
          <w:rFonts w:ascii="Arial" w:cs="Arial" w:eastAsia="Arial" w:hAnsi="Arial"/>
          <w:b/>
          <w:bCs/>
          <w:color w:val="222222"/>
          <w:sz w:val="22"/>
          <w:szCs w:val="22"/>
          <w:u w:val="single"/>
        </w:rPr>
        <w:t xml:space="preserve">CLASES DE ACCIONES. </w:t>
      </w:r>
    </w:p>
    <w:p>
      <w:pPr>
        <w:spacing w:after="160" w:line="276"/>
        <w:jc w:val="both"/>
      </w:pPr>
      <w:r>
        <w:rPr>
          <w:rFonts w:ascii="Arial" w:cs="Arial" w:eastAsia="Arial" w:hAnsi="Arial"/>
          <w:b w:val="false"/>
          <w:bCs w:val="false"/>
          <w:color w:val="222222"/>
          <w:sz w:val="22"/>
          <w:szCs w:val="22"/>
        </w:rPr>
        <w:t xml:space="preserve">La sociedad podrá emitir las siguientes clases de acciones, con sujeción a la Ley 1258 de 2008:</w:t>
      </w:r>
    </w:p>
    <w:p>
      <w:pPr>
        <w:spacing w:after="80"/>
      </w:pPr>
      <w:r>
        <w:t xml:space="preserve"/>
      </w:r>
    </w:p>
    <w:p>
      <w:pPr>
        <w:pStyle w:val="Heading3"/>
      </w:pPr>
      <w:r>
        <w:t xml:space="preserve">7.1. Acciones Ordinarias</w:t>
      </w:r>
    </w:p>
    <w:p>
      <w:pPr>
        <w:spacing w:after="160" w:line="276"/>
        <w:ind w:left="360"/>
        <w:jc w:val="both"/>
      </w:pPr>
      <w:r>
        <w:rPr>
          <w:rFonts w:ascii="Arial" w:cs="Arial" w:eastAsia="Arial" w:hAnsi="Arial"/>
          <w:color w:val="222222"/>
          <w:sz w:val="22"/>
          <w:szCs w:val="22"/>
        </w:rPr>
        <w:t xml:space="preserve">Confieren a sus titulares los derechos básicos reconocidos en la ley: derecho a voto en proporción a su participación accionaria, derecho a dividendos, derecho de preferencia en la suscripción de nuevas acciones, y derecho a una cuota parte de los activos sociales en caso de liquidación.</w:t>
      </w:r>
    </w:p>
    <w:p>
      <w:pPr>
        <w:spacing w:after="80"/>
      </w:pPr>
      <w:r>
        <w:t xml:space="preserve"/>
      </w:r>
    </w:p>
    <w:p>
      <w:pPr>
        <w:pStyle w:val="Heading3"/>
      </w:pPr>
      <w:r>
        <w:t xml:space="preserve">7.2. Acciones con Dividendo Preferencial y Sin Derecho a Voto</w:t>
      </w:r>
    </w:p>
    <w:p>
      <w:pPr>
        <w:spacing w:after="160" w:line="276"/>
        <w:ind w:left="360"/>
        <w:jc w:val="both"/>
      </w:pPr>
      <w:r>
        <w:rPr>
          <w:rFonts w:ascii="Arial" w:cs="Arial" w:eastAsia="Arial" w:hAnsi="Arial"/>
          <w:color w:val="222222"/>
          <w:sz w:val="22"/>
          <w:szCs w:val="22"/>
        </w:rPr>
        <w:t xml:space="preserve">La Asamblea de Accionistas podrá autorizar la emisión de acciones con dividendo preferencial y sin derecho a voto, destinadas principalmente a rondas de financiación con inversionistas. Estas acciones otorgan a sus titulares prioridad en el pago de dividendos sobre las acciones ordinarias, en el monto y condiciones que fije la Asamblea al momento de su emisión. El dividendo preferencial mínimo será del [___]% sobre el valor nominal de la acción.</w:t>
      </w:r>
    </w:p>
    <w:p>
      <w:pPr>
        <w:spacing w:after="80"/>
      </w:pPr>
      <w:r>
        <w:t xml:space="preserve"/>
      </w:r>
    </w:p>
    <w:p>
      <w:pPr>
        <w:pStyle w:val="Heading3"/>
      </w:pPr>
      <w:r>
        <w:t xml:space="preserve">7.3. Acciones con Dividendo Preferencial Acumulativo</w:t>
      </w:r>
    </w:p>
    <w:p>
      <w:pPr>
        <w:spacing w:after="160" w:line="276"/>
        <w:ind w:left="360"/>
        <w:jc w:val="both"/>
      </w:pPr>
      <w:r>
        <w:rPr>
          <w:rFonts w:ascii="Arial" w:cs="Arial" w:eastAsia="Arial" w:hAnsi="Arial"/>
          <w:color w:val="222222"/>
          <w:sz w:val="22"/>
          <w:szCs w:val="22"/>
        </w:rPr>
        <w:t xml:space="preserve">Modalidad de acciones preferenciales en la que el dividendo no cobrado en un ejercicio se acumula para periodos futuros, con prioridad absoluta frente a cualquier distribución a accionistas ordinarios. Las condiciones específicas de cada emisión serán determinadas por la Asamblea de Accionistas con una mayoría calificada del [___]% de las acciones en circulación.</w:t>
      </w:r>
    </w:p>
    <w:p>
      <w:pPr>
        <w:spacing w:after="80"/>
      </w:pPr>
      <w:r>
        <w:t xml:space="preserve"/>
      </w:r>
    </w:p>
    <w:p>
      <w:pPr>
        <w:pStyle w:val="Heading3"/>
      </w:pPr>
      <w:r>
        <w:t xml:space="preserve">7.4. Acciones de Industria</w:t>
      </w:r>
    </w:p>
    <w:p>
      <w:pPr>
        <w:spacing w:after="160" w:line="276"/>
        <w:ind w:left="360"/>
        <w:jc w:val="both"/>
      </w:pPr>
      <w:r>
        <w:rPr>
          <w:rFonts w:ascii="Arial" w:cs="Arial" w:eastAsia="Arial" w:hAnsi="Arial"/>
          <w:color w:val="222222"/>
          <w:sz w:val="22"/>
          <w:szCs w:val="22"/>
        </w:rPr>
        <w:t xml:space="preserve">Podrán emitirse acciones de industria en favor de fundadores, empleados clave o asesores estratégicos, en reconocimiento de aportes de conocimiento, tecnología, experiencia o servicios especializados, conforme a las condiciones y valoraciones aprobadas por la Asamblea de Accionistas.</w:t>
      </w:r>
    </w:p>
    <w:p>
      <w:pPr>
        <w:spacing w:after="80"/>
      </w:pPr>
      <w:r>
        <w:t xml:space="preserve"/>
      </w:r>
    </w:p>
    <w:p>
      <w:pPr>
        <w:spacing w:after="160" w:line="276"/>
        <w:jc w:val="both"/>
      </w:pPr>
      <w:r>
        <w:rPr>
          <w:rFonts w:ascii="Arial" w:cs="Arial" w:eastAsia="Arial" w:hAnsi="Arial"/>
          <w:b w:val="false"/>
          <w:bCs w:val="false"/>
          <w:color w:val="222222"/>
          <w:sz w:val="22"/>
          <w:szCs w:val="22"/>
        </w:rPr>
        <w:t xml:space="preserve">PARÁGRAFO PRIMERO: La conversión entre clases de acciones requerirá aprobación de la Asamblea de Accionistas con una mayoría del [___]% de las acciones en circulación.</w:t>
      </w:r>
    </w:p>
    <w:p>
      <w:pPr>
        <w:spacing w:after="160" w:line="276"/>
        <w:jc w:val="both"/>
      </w:pPr>
      <w:r>
        <w:rPr>
          <w:rFonts w:ascii="Arial" w:cs="Arial" w:eastAsia="Arial" w:hAnsi="Arial"/>
          <w:b w:val="false"/>
          <w:bCs w:val="false"/>
          <w:color w:val="222222"/>
          <w:sz w:val="22"/>
          <w:szCs w:val="22"/>
        </w:rPr>
        <w:t xml:space="preserve">PARÁGRAFO SEGUNDO: La Junta Directiva estará facultada para establecer, mediante reglamento de emisión, restricciones de transferencia, derechos de preferencia adicionales y demás condiciones aplicables a cada clase de acciones.</w:t>
      </w:r>
    </w:p>
    <w:p>
      <w:pPr>
        <w:spacing w:after="80" w:before="200"/>
      </w:pPr>
      <w:r>
        <w:rPr>
          <w:rFonts w:ascii="Arial" w:cs="Arial" w:eastAsia="Arial" w:hAnsi="Arial"/>
          <w:b/>
          <w:bCs/>
          <w:color w:val="1B3A6B"/>
          <w:sz w:val="22"/>
          <w:szCs w:val="22"/>
        </w:rPr>
        <w:t xml:space="preserve">ARTÍCULO 8. </w:t>
      </w:r>
      <w:r>
        <w:rPr>
          <w:rFonts w:ascii="Arial" w:cs="Arial" w:eastAsia="Arial" w:hAnsi="Arial"/>
          <w:b/>
          <w:bCs/>
          <w:color w:val="222222"/>
          <w:sz w:val="22"/>
          <w:szCs w:val="22"/>
          <w:u w:val="single"/>
        </w:rPr>
        <w:t xml:space="preserve">RESTRICCIONES A LA NEGOCIACIÓN DE ACCIONES. </w:t>
      </w:r>
    </w:p>
    <w:p>
      <w:pPr>
        <w:spacing w:after="160" w:line="276"/>
        <w:ind w:left="360"/>
        <w:jc w:val="both"/>
      </w:pPr>
      <w:r>
        <w:rPr>
          <w:rFonts w:ascii="Arial" w:cs="Arial" w:eastAsia="Arial" w:hAnsi="Arial"/>
          <w:color w:val="222222"/>
          <w:sz w:val="22"/>
          <w:szCs w:val="22"/>
        </w:rPr>
        <w:t xml:space="preserve">La transferencia de acciones de cualquier clase estará sujeta a los siguientes mecanismos de protección, los cuales se aplicarán en el orden de prelación indicado:</w:t>
      </w:r>
    </w:p>
    <w:p>
      <w:pPr>
        <w:pStyle w:val="ListParagraph"/>
        <w:numPr>
          <w:ilvl w:val="0"/>
          <w:numId w:val="2"/>
        </w:numPr>
        <w:spacing w:after="80" w:line="276"/>
      </w:pPr>
      <w:r>
        <w:rPr>
          <w:rFonts w:ascii="Arial" w:cs="Arial" w:eastAsia="Arial" w:hAnsi="Arial"/>
          <w:color w:val="222222"/>
          <w:sz w:val="22"/>
          <w:szCs w:val="22"/>
        </w:rPr>
        <w:t xml:space="preserve">Derecho de Primera Oferta (Right of First Offer): Todo accionista que desee enajenar sus acciones deberá ofrecerlas previamente a los demás accionistas, en proporción a su participación, antes de ofrecerlas a terceros.</w:t>
      </w:r>
    </w:p>
    <w:p>
      <w:pPr>
        <w:pStyle w:val="ListParagraph"/>
        <w:numPr>
          <w:ilvl w:val="0"/>
          <w:numId w:val="2"/>
        </w:numPr>
        <w:spacing w:after="80" w:line="276"/>
      </w:pPr>
      <w:r>
        <w:rPr>
          <w:rFonts w:ascii="Arial" w:cs="Arial" w:eastAsia="Arial" w:hAnsi="Arial"/>
          <w:color w:val="222222"/>
          <w:sz w:val="22"/>
          <w:szCs w:val="22"/>
        </w:rPr>
        <w:t xml:space="preserve">Derecho de Preferencia (Right of First Refusal): En caso de que el vendedor reciba una oferta de un tercero, los accionistas tendrán el derecho de adquirir las acciones en las mismas condiciones ofrecidas por dicho tercero.</w:t>
      </w:r>
    </w:p>
    <w:p>
      <w:pPr>
        <w:pStyle w:val="ListParagraph"/>
        <w:numPr>
          <w:ilvl w:val="0"/>
          <w:numId w:val="2"/>
        </w:numPr>
        <w:spacing w:after="80" w:line="276"/>
      </w:pPr>
      <w:r>
        <w:rPr>
          <w:rFonts w:ascii="Arial" w:cs="Arial" w:eastAsia="Arial" w:hAnsi="Arial"/>
          <w:color w:val="222222"/>
          <w:sz w:val="22"/>
          <w:szCs w:val="22"/>
        </w:rPr>
        <w:t xml:space="preserve">Los derechos establecidos en este artículo deberán ejercerse dentro de un término de [___] días hábiles contados desde la notificación de la oferta.</w:t>
      </w:r>
    </w:p>
    <w:p>
      <w:pPr>
        <w:pBdr>
          <w:bottom w:val="single" w:color="CCCCCC" w:sz="2" w:space="1"/>
        </w:pBdr>
        <w:spacing w:after="120" w:before="120"/>
      </w:pPr>
      <w:r>
        <w:t xml:space="preserve"/>
      </w:r>
    </w:p>
    <w:p>
      <w:pPr>
        <w:pStyle w:val="Heading1"/>
      </w:pPr>
      <w:r>
        <w:t xml:space="preserve">CAPÍTULO IV – MECANISMOS DE FINANCIACIÓN</w:t>
      </w:r>
    </w:p>
    <w:p>
      <w:pPr>
        <w:spacing w:after="80" w:before="200"/>
      </w:pPr>
      <w:r>
        <w:rPr>
          <w:rFonts w:ascii="Arial" w:cs="Arial" w:eastAsia="Arial" w:hAnsi="Arial"/>
          <w:b/>
          <w:bCs/>
          <w:color w:val="1B3A6B"/>
          <w:sz w:val="22"/>
          <w:szCs w:val="22"/>
        </w:rPr>
        <w:t xml:space="preserve">ARTÍCULO 9. </w:t>
      </w:r>
      <w:r>
        <w:rPr>
          <w:rFonts w:ascii="Arial" w:cs="Arial" w:eastAsia="Arial" w:hAnsi="Arial"/>
          <w:b/>
          <w:bCs/>
          <w:color w:val="222222"/>
          <w:sz w:val="22"/>
          <w:szCs w:val="22"/>
          <w:u w:val="single"/>
        </w:rPr>
        <w:t xml:space="preserve">FACULTAD GENERAL DE FINANCIACIÓN. </w:t>
      </w:r>
    </w:p>
    <w:p>
      <w:pPr>
        <w:spacing w:after="160" w:line="276"/>
        <w:ind w:left="360"/>
        <w:jc w:val="both"/>
      </w:pPr>
      <w:r>
        <w:rPr>
          <w:rFonts w:ascii="Arial" w:cs="Arial" w:eastAsia="Arial" w:hAnsi="Arial"/>
          <w:color w:val="222222"/>
          <w:sz w:val="22"/>
          <w:szCs w:val="22"/>
        </w:rPr>
        <w:t xml:space="preserve">La sociedad está expresamente facultada para acceder a toda clase de mecanismos de financiación disponibles en el ordenamiento jurídico colombiano e internacional, incluyendo pero no limitándose a: créditos bancarios, emisión de valores, instrumentos de deuda convertible, financiación de capital de riesgo (venture capital), capital privado (private equity), y financiación pública o mixta.</w:t>
      </w:r>
    </w:p>
    <w:p>
      <w:pPr>
        <w:spacing w:after="80" w:before="200"/>
      </w:pPr>
      <w:r>
        <w:rPr>
          <w:rFonts w:ascii="Arial" w:cs="Arial" w:eastAsia="Arial" w:hAnsi="Arial"/>
          <w:b/>
          <w:bCs/>
          <w:color w:val="1B3A6B"/>
          <w:sz w:val="22"/>
          <w:szCs w:val="22"/>
        </w:rPr>
        <w:t xml:space="preserve">ARTÍCULO 10. </w:t>
      </w:r>
      <w:r>
        <w:rPr>
          <w:rFonts w:ascii="Arial" w:cs="Arial" w:eastAsia="Arial" w:hAnsi="Arial"/>
          <w:b/>
          <w:bCs/>
          <w:color w:val="222222"/>
          <w:sz w:val="22"/>
          <w:szCs w:val="22"/>
          <w:u w:val="single"/>
        </w:rPr>
        <w:t xml:space="preserve">BONOS CONVERTIBLES EN ACCIONES (BOCAS). </w:t>
      </w:r>
    </w:p>
    <w:p>
      <w:pPr>
        <w:spacing w:after="160" w:line="276"/>
        <w:ind w:left="360"/>
        <w:jc w:val="both"/>
      </w:pPr>
      <w:r>
        <w:rPr>
          <w:rFonts w:ascii="Arial" w:cs="Arial" w:eastAsia="Arial" w:hAnsi="Arial"/>
          <w:color w:val="222222"/>
          <w:sz w:val="22"/>
          <w:szCs w:val="22"/>
        </w:rPr>
        <w:t xml:space="preserve">La Asamblea de Accionistas, con aprobación de una mayoría simple de las acciones en circulación, podrá autorizar la emisión de Bonos Ordinarios Convertibles en Acciones (BOCAS), con sujeción a la Ley 964 de 2005 y demás normas aplicables. Cada emisión deberá especificar:</w:t>
      </w:r>
    </w:p>
    <w:p>
      <w:pPr>
        <w:pStyle w:val="ListParagraph"/>
        <w:numPr>
          <w:ilvl w:val="0"/>
          <w:numId w:val="2"/>
        </w:numPr>
        <w:spacing w:after="80" w:line="276"/>
      </w:pPr>
      <w:r>
        <w:rPr>
          <w:rFonts w:ascii="Arial" w:cs="Arial" w:eastAsia="Arial" w:hAnsi="Arial"/>
          <w:color w:val="222222"/>
          <w:sz w:val="22"/>
          <w:szCs w:val="22"/>
        </w:rPr>
        <w:t xml:space="preserve">El monto total de la emisión y el valor nominal de cada bono.</w:t>
      </w:r>
    </w:p>
    <w:p>
      <w:pPr>
        <w:pStyle w:val="ListParagraph"/>
        <w:numPr>
          <w:ilvl w:val="0"/>
          <w:numId w:val="2"/>
        </w:numPr>
        <w:spacing w:after="80" w:line="276"/>
      </w:pPr>
      <w:r>
        <w:rPr>
          <w:rFonts w:ascii="Arial" w:cs="Arial" w:eastAsia="Arial" w:hAnsi="Arial"/>
          <w:color w:val="222222"/>
          <w:sz w:val="22"/>
          <w:szCs w:val="22"/>
        </w:rPr>
        <w:t xml:space="preserve">La tasa de interés, que podrá ser fija o variable, y los períodos de pago.</w:t>
      </w:r>
    </w:p>
    <w:p>
      <w:pPr>
        <w:pStyle w:val="ListParagraph"/>
        <w:numPr>
          <w:ilvl w:val="0"/>
          <w:numId w:val="2"/>
        </w:numPr>
        <w:spacing w:after="80" w:line="276"/>
      </w:pPr>
      <w:r>
        <w:rPr>
          <w:rFonts w:ascii="Arial" w:cs="Arial" w:eastAsia="Arial" w:hAnsi="Arial"/>
          <w:color w:val="222222"/>
          <w:sz w:val="22"/>
          <w:szCs w:val="22"/>
        </w:rPr>
        <w:t xml:space="preserve">El período de conversión y la fórmula para calcular el precio de conversión, que podrá incluir descuentos sobre el valor de mercado o el precio de la siguiente ronda de financiación.</w:t>
      </w:r>
    </w:p>
    <w:p>
      <w:pPr>
        <w:pStyle w:val="ListParagraph"/>
        <w:numPr>
          <w:ilvl w:val="0"/>
          <w:numId w:val="2"/>
        </w:numPr>
        <w:spacing w:after="80" w:line="276"/>
      </w:pPr>
      <w:r>
        <w:rPr>
          <w:rFonts w:ascii="Arial" w:cs="Arial" w:eastAsia="Arial" w:hAnsi="Arial"/>
          <w:color w:val="222222"/>
          <w:sz w:val="22"/>
          <w:szCs w:val="22"/>
        </w:rPr>
        <w:t xml:space="preserve">Las garantías ofrecidas a los tenedores de bonos, si las hubiere.</w:t>
      </w:r>
    </w:p>
    <w:p>
      <w:pPr>
        <w:pStyle w:val="ListParagraph"/>
        <w:numPr>
          <w:ilvl w:val="0"/>
          <w:numId w:val="2"/>
        </w:numPr>
        <w:spacing w:after="80" w:line="276"/>
      </w:pPr>
      <w:r>
        <w:rPr>
          <w:rFonts w:ascii="Arial" w:cs="Arial" w:eastAsia="Arial" w:hAnsi="Arial"/>
          <w:color w:val="222222"/>
          <w:sz w:val="22"/>
          <w:szCs w:val="22"/>
        </w:rPr>
        <w:t xml:space="preserve">Los supuestos de conversión obligatoria y voluntaria.</w:t>
      </w:r>
    </w:p>
    <w:p>
      <w:pPr>
        <w:spacing w:after="80"/>
      </w:pPr>
      <w:r>
        <w:t xml:space="preserve"/>
      </w:r>
    </w:p>
    <w:p>
      <w:pPr>
        <w:spacing w:after="160" w:line="276"/>
        <w:jc w:val="both"/>
      </w:pPr>
      <w:r>
        <w:rPr>
          <w:rFonts w:ascii="Arial" w:cs="Arial" w:eastAsia="Arial" w:hAnsi="Arial"/>
          <w:b w:val="false"/>
          <w:bCs w:val="false"/>
          <w:color w:val="222222"/>
          <w:sz w:val="22"/>
          <w:szCs w:val="22"/>
        </w:rPr>
        <w:t xml:space="preserve">PARÁGRAFO: La conversión de bonos en acciones se realizará preferentemente mediante la emisión de acciones con dividendo preferencial, salvo que el reglamento de emisión establezca lo contrario.</w:t>
      </w:r>
    </w:p>
    <w:p>
      <w:pPr>
        <w:spacing w:after="80" w:before="200"/>
      </w:pPr>
      <w:r>
        <w:rPr>
          <w:rFonts w:ascii="Arial" w:cs="Arial" w:eastAsia="Arial" w:hAnsi="Arial"/>
          <w:b/>
          <w:bCs/>
          <w:color w:val="1B3A6B"/>
          <w:sz w:val="22"/>
          <w:szCs w:val="22"/>
        </w:rPr>
        <w:t xml:space="preserve">ARTÍCULO 11. </w:t>
      </w:r>
      <w:r>
        <w:rPr>
          <w:rFonts w:ascii="Arial" w:cs="Arial" w:eastAsia="Arial" w:hAnsi="Arial"/>
          <w:b/>
          <w:bCs/>
          <w:color w:val="222222"/>
          <w:sz w:val="22"/>
          <w:szCs w:val="22"/>
          <w:u w:val="single"/>
        </w:rPr>
        <w:t xml:space="preserve">NOTAS CONVERTIBLES (SAFE Y KISS). </w:t>
      </w:r>
    </w:p>
    <w:p>
      <w:pPr>
        <w:spacing w:after="160" w:line="276"/>
        <w:ind w:left="360"/>
        <w:jc w:val="both"/>
      </w:pPr>
      <w:r>
        <w:rPr>
          <w:rFonts w:ascii="Arial" w:cs="Arial" w:eastAsia="Arial" w:hAnsi="Arial"/>
          <w:color w:val="222222"/>
          <w:sz w:val="22"/>
          <w:szCs w:val="22"/>
        </w:rPr>
        <w:t xml:space="preserve">La Junta Directiva estará autorizada para celebrar acuerdos de inversión mediante notas convertibles, incluyendo instrumentos tipo SAFE (Simple Agreement for Future Equity) y KISS (Keep It Simple Security), sin necesidad de aprobación previa de la Asamblea de Accionistas, siempre que el monto individual o acumulado de tales acuerdos no supere el [___]% del capital autorizado. Para montos superiores, se requerirá aprobación de la Asamblea. Estos instrumentos deberán incluir como mínimo:</w:t>
      </w:r>
    </w:p>
    <w:p>
      <w:pPr>
        <w:pStyle w:val="ListParagraph"/>
        <w:numPr>
          <w:ilvl w:val="0"/>
          <w:numId w:val="2"/>
        </w:numPr>
        <w:spacing w:after="80" w:line="276"/>
      </w:pPr>
      <w:r>
        <w:rPr>
          <w:rFonts w:ascii="Arial" w:cs="Arial" w:eastAsia="Arial" w:hAnsi="Arial"/>
          <w:color w:val="222222"/>
          <w:sz w:val="22"/>
          <w:szCs w:val="22"/>
        </w:rPr>
        <w:t xml:space="preserve">Monto de la inversión y fecha de vencimiento (si aplica).</w:t>
      </w:r>
    </w:p>
    <w:p>
      <w:pPr>
        <w:pStyle w:val="ListParagraph"/>
        <w:numPr>
          <w:ilvl w:val="0"/>
          <w:numId w:val="2"/>
        </w:numPr>
        <w:spacing w:after="80" w:line="276"/>
      </w:pPr>
      <w:r>
        <w:rPr>
          <w:rFonts w:ascii="Arial" w:cs="Arial" w:eastAsia="Arial" w:hAnsi="Arial"/>
          <w:color w:val="222222"/>
          <w:sz w:val="22"/>
          <w:szCs w:val="22"/>
        </w:rPr>
        <w:t xml:space="preserve">Tasa de descuento sobre el precio de la siguiente ronda de financiación calificada (Qualified Financing).</w:t>
      </w:r>
    </w:p>
    <w:p>
      <w:pPr>
        <w:pStyle w:val="ListParagraph"/>
        <w:numPr>
          <w:ilvl w:val="0"/>
          <w:numId w:val="2"/>
        </w:numPr>
        <w:spacing w:after="80" w:line="276"/>
      </w:pPr>
      <w:r>
        <w:rPr>
          <w:rFonts w:ascii="Arial" w:cs="Arial" w:eastAsia="Arial" w:hAnsi="Arial"/>
          <w:color w:val="222222"/>
          <w:sz w:val="22"/>
          <w:szCs w:val="22"/>
        </w:rPr>
        <w:t xml:space="preserve">Valoración máxima (Valuation Cap) acordada con el inversionista.</w:t>
      </w:r>
    </w:p>
    <w:p>
      <w:pPr>
        <w:pStyle w:val="ListParagraph"/>
        <w:numPr>
          <w:ilvl w:val="0"/>
          <w:numId w:val="2"/>
        </w:numPr>
        <w:spacing w:after="80" w:line="276"/>
      </w:pPr>
      <w:r>
        <w:rPr>
          <w:rFonts w:ascii="Arial" w:cs="Arial" w:eastAsia="Arial" w:hAnsi="Arial"/>
          <w:color w:val="222222"/>
          <w:sz w:val="22"/>
          <w:szCs w:val="22"/>
        </w:rPr>
        <w:t xml:space="preserve">Supuestos de conversión automática y eventos de liquidez.</w:t>
      </w:r>
    </w:p>
    <w:p>
      <w:pPr>
        <w:pStyle w:val="ListParagraph"/>
        <w:numPr>
          <w:ilvl w:val="0"/>
          <w:numId w:val="2"/>
        </w:numPr>
        <w:spacing w:after="80" w:line="276"/>
      </w:pPr>
      <w:r>
        <w:rPr>
          <w:rFonts w:ascii="Arial" w:cs="Arial" w:eastAsia="Arial" w:hAnsi="Arial"/>
          <w:color w:val="222222"/>
          <w:sz w:val="22"/>
          <w:szCs w:val="22"/>
        </w:rPr>
        <w:t xml:space="preserve">Derechos pro-rata para futuras rondas de financiación.</w:t>
      </w:r>
    </w:p>
    <w:p>
      <w:pPr>
        <w:spacing w:after="80" w:before="200"/>
      </w:pPr>
      <w:r>
        <w:rPr>
          <w:rFonts w:ascii="Arial" w:cs="Arial" w:eastAsia="Arial" w:hAnsi="Arial"/>
          <w:b/>
          <w:bCs/>
          <w:color w:val="1B3A6B"/>
          <w:sz w:val="22"/>
          <w:szCs w:val="22"/>
        </w:rPr>
        <w:t xml:space="preserve">ARTÍCULO 12. </w:t>
      </w:r>
      <w:r>
        <w:rPr>
          <w:rFonts w:ascii="Arial" w:cs="Arial" w:eastAsia="Arial" w:hAnsi="Arial"/>
          <w:b/>
          <w:bCs/>
          <w:color w:val="222222"/>
          <w:sz w:val="22"/>
          <w:szCs w:val="22"/>
          <w:u w:val="single"/>
        </w:rPr>
        <w:t xml:space="preserve">EMISIÓN DE NUEVAS ACCIONES Y DILUCIÓN. </w:t>
      </w:r>
    </w:p>
    <w:p>
      <w:pPr>
        <w:spacing w:after="160" w:line="276"/>
        <w:ind w:left="360"/>
        <w:jc w:val="both"/>
      </w:pPr>
      <w:r>
        <w:rPr>
          <w:rFonts w:ascii="Arial" w:cs="Arial" w:eastAsia="Arial" w:hAnsi="Arial"/>
          <w:color w:val="222222"/>
          <w:sz w:val="22"/>
          <w:szCs w:val="22"/>
        </w:rPr>
        <w:t xml:space="preserve">Toda emisión de acciones de cualquier clase requerirá aprobación de la Asamblea de Accionistas, excepto las conversiones de instrumentos de deuda previamente autorizados. Los accionistas existentes gozarán del derecho de suscripción preferente en toda nueva emisión, en proporción a su participación accionaria, por un período mínimo de [___] días hábiles desde la comunicación formal de la emisión. La renuncia a este derecho deberá constar por escrito.</w:t>
      </w:r>
    </w:p>
    <w:p>
      <w:pPr>
        <w:pBdr>
          <w:bottom w:val="single" w:color="CCCCCC" w:sz="2" w:space="1"/>
        </w:pBdr>
        <w:spacing w:after="120" w:before="120"/>
      </w:pPr>
      <w:r>
        <w:t xml:space="preserve"/>
      </w:r>
    </w:p>
    <w:p>
      <w:pPr>
        <w:pStyle w:val="Heading1"/>
      </w:pPr>
      <w:r>
        <w:t xml:space="preserve">CAPÍTULO V – GOBIERNO CORPORATIVO</w:t>
      </w:r>
    </w:p>
    <w:p>
      <w:pPr>
        <w:spacing w:after="80" w:before="200"/>
      </w:pPr>
      <w:r>
        <w:rPr>
          <w:rFonts w:ascii="Arial" w:cs="Arial" w:eastAsia="Arial" w:hAnsi="Arial"/>
          <w:b/>
          <w:bCs/>
          <w:color w:val="1B3A6B"/>
          <w:sz w:val="22"/>
          <w:szCs w:val="22"/>
        </w:rPr>
        <w:t xml:space="preserve">ARTÍCULO 13. </w:t>
      </w:r>
      <w:r>
        <w:rPr>
          <w:rFonts w:ascii="Arial" w:cs="Arial" w:eastAsia="Arial" w:hAnsi="Arial"/>
          <w:b/>
          <w:bCs/>
          <w:color w:val="222222"/>
          <w:sz w:val="22"/>
          <w:szCs w:val="22"/>
          <w:u w:val="single"/>
        </w:rPr>
        <w:t xml:space="preserve">ÓRGANOS DE ADMINISTRACIÓN. </w:t>
      </w:r>
    </w:p>
    <w:p>
      <w:pPr>
        <w:spacing w:after="160" w:line="276"/>
        <w:jc w:val="both"/>
      </w:pPr>
      <w:r>
        <w:rPr>
          <w:rFonts w:ascii="Arial" w:cs="Arial" w:eastAsia="Arial" w:hAnsi="Arial"/>
          <w:b w:val="false"/>
          <w:bCs w:val="false"/>
          <w:color w:val="222222"/>
          <w:sz w:val="22"/>
          <w:szCs w:val="22"/>
        </w:rPr>
        <w:t xml:space="preserve">La administración de la sociedad estará a cargo de los siguientes órganos, cada uno con las competencias y funciones asignadas en la ley y en los presentes estatutos:</w:t>
      </w:r>
    </w:p>
    <w:p>
      <w:pPr>
        <w:pStyle w:val="ListParagraph"/>
        <w:numPr>
          <w:ilvl w:val="0"/>
          <w:numId w:val="2"/>
        </w:numPr>
        <w:spacing w:after="80" w:line="276"/>
      </w:pPr>
      <w:r>
        <w:rPr>
          <w:rFonts w:ascii="Arial" w:cs="Arial" w:eastAsia="Arial" w:hAnsi="Arial"/>
          <w:color w:val="222222"/>
          <w:sz w:val="22"/>
          <w:szCs w:val="22"/>
        </w:rPr>
        <w:t xml:space="preserve">La Asamblea General de Accionistas.</w:t>
      </w:r>
    </w:p>
    <w:p>
      <w:pPr>
        <w:pStyle w:val="ListParagraph"/>
        <w:numPr>
          <w:ilvl w:val="0"/>
          <w:numId w:val="2"/>
        </w:numPr>
        <w:spacing w:after="80" w:line="276"/>
      </w:pPr>
      <w:r>
        <w:rPr>
          <w:rFonts w:ascii="Arial" w:cs="Arial" w:eastAsia="Arial" w:hAnsi="Arial"/>
          <w:color w:val="222222"/>
          <w:sz w:val="22"/>
          <w:szCs w:val="22"/>
        </w:rPr>
        <w:t xml:space="preserve">La Junta Directiva.</w:t>
      </w:r>
    </w:p>
    <w:p>
      <w:pPr>
        <w:pStyle w:val="ListParagraph"/>
        <w:numPr>
          <w:ilvl w:val="0"/>
          <w:numId w:val="2"/>
        </w:numPr>
        <w:spacing w:after="80" w:line="276"/>
      </w:pPr>
      <w:r>
        <w:rPr>
          <w:rFonts w:ascii="Arial" w:cs="Arial" w:eastAsia="Arial" w:hAnsi="Arial"/>
          <w:color w:val="222222"/>
          <w:sz w:val="22"/>
          <w:szCs w:val="22"/>
        </w:rPr>
        <w:t xml:space="preserve">El Representante Legal (Gerente General).</w:t>
      </w:r>
    </w:p>
    <w:p>
      <w:pPr>
        <w:spacing w:after="80" w:before="200"/>
      </w:pPr>
      <w:r>
        <w:rPr>
          <w:rFonts w:ascii="Arial" w:cs="Arial" w:eastAsia="Arial" w:hAnsi="Arial"/>
          <w:b/>
          <w:bCs/>
          <w:color w:val="1B3A6B"/>
          <w:sz w:val="22"/>
          <w:szCs w:val="22"/>
        </w:rPr>
        <w:t xml:space="preserve">ARTÍCULO 14. </w:t>
      </w:r>
      <w:r>
        <w:rPr>
          <w:rFonts w:ascii="Arial" w:cs="Arial" w:eastAsia="Arial" w:hAnsi="Arial"/>
          <w:b/>
          <w:bCs/>
          <w:color w:val="222222"/>
          <w:sz w:val="22"/>
          <w:szCs w:val="22"/>
          <w:u w:val="single"/>
        </w:rPr>
        <w:t xml:space="preserve">ASAMBLEA GENERAL DE ACCIONISTAS. </w:t>
      </w:r>
    </w:p>
    <w:p>
      <w:pPr>
        <w:spacing w:after="160" w:line="276"/>
        <w:jc w:val="both"/>
      </w:pPr>
      <w:r>
        <w:rPr>
          <w:rFonts w:ascii="Arial" w:cs="Arial" w:eastAsia="Arial" w:hAnsi="Arial"/>
          <w:b w:val="false"/>
          <w:bCs w:val="false"/>
          <w:color w:val="222222"/>
          <w:sz w:val="22"/>
          <w:szCs w:val="22"/>
        </w:rPr>
        <w:t xml:space="preserve">La Asamblea General de Accionistas es el órgano supremo de la sociedad. Se reunirá ordinariamente dentro de los tres (3) primeros meses del año y extraordinariamente cuando así lo exijan las necesidades sociales. Las decisiones de la Asamblea se adoptarán con los votos favorables de una pluralidad de acciones, de conformidad con las mayorías establecidas en los presentes estatutos.</w:t>
      </w:r>
    </w:p>
    <w:p>
      <w:pPr>
        <w:spacing w:after="80"/>
      </w:pPr>
      <w:r>
        <w:t xml:space="preserve"/>
      </w:r>
    </w:p>
    <w:p>
      <w:pPr>
        <w:spacing w:after="160" w:line="276"/>
        <w:jc w:val="both"/>
      </w:pPr>
      <w:r>
        <w:rPr>
          <w:rFonts w:ascii="Arial" w:cs="Arial" w:eastAsia="Arial" w:hAnsi="Arial"/>
          <w:b w:val="false"/>
          <w:bCs w:val="false"/>
          <w:color w:val="222222"/>
          <w:sz w:val="22"/>
          <w:szCs w:val="22"/>
        </w:rPr>
        <w:t xml:space="preserve">Las siguientes decisiones requerirán una mayoría calificada del [___]% de las acciones en circulación con derecho a voto:</w:t>
      </w:r>
    </w:p>
    <w:p>
      <w:pPr>
        <w:pStyle w:val="ListParagraph"/>
        <w:numPr>
          <w:ilvl w:val="0"/>
          <w:numId w:val="2"/>
        </w:numPr>
        <w:spacing w:after="80" w:line="276"/>
      </w:pPr>
      <w:r>
        <w:rPr>
          <w:rFonts w:ascii="Arial" w:cs="Arial" w:eastAsia="Arial" w:hAnsi="Arial"/>
          <w:color w:val="222222"/>
          <w:sz w:val="22"/>
          <w:szCs w:val="22"/>
        </w:rPr>
        <w:t xml:space="preserve">Modificación de los estatutos sociales.</w:t>
      </w:r>
    </w:p>
    <w:p>
      <w:pPr>
        <w:pStyle w:val="ListParagraph"/>
        <w:numPr>
          <w:ilvl w:val="0"/>
          <w:numId w:val="2"/>
        </w:numPr>
        <w:spacing w:after="80" w:line="276"/>
      </w:pPr>
      <w:r>
        <w:rPr>
          <w:rFonts w:ascii="Arial" w:cs="Arial" w:eastAsia="Arial" w:hAnsi="Arial"/>
          <w:color w:val="222222"/>
          <w:sz w:val="22"/>
          <w:szCs w:val="22"/>
        </w:rPr>
        <w:t xml:space="preserve">Emisión de nuevas clases de acciones o modificación de los derechos de clases existentes.</w:t>
      </w:r>
    </w:p>
    <w:p>
      <w:pPr>
        <w:pStyle w:val="ListParagraph"/>
        <w:numPr>
          <w:ilvl w:val="0"/>
          <w:numId w:val="2"/>
        </w:numPr>
        <w:spacing w:after="80" w:line="276"/>
      </w:pPr>
      <w:r>
        <w:rPr>
          <w:rFonts w:ascii="Arial" w:cs="Arial" w:eastAsia="Arial" w:hAnsi="Arial"/>
          <w:color w:val="222222"/>
          <w:sz w:val="22"/>
          <w:szCs w:val="22"/>
        </w:rPr>
        <w:t xml:space="preserve">Aprobación de fusiones, escisiones, transformaciones o cualquier reestructuración societaria.</w:t>
      </w:r>
    </w:p>
    <w:p>
      <w:pPr>
        <w:pStyle w:val="ListParagraph"/>
        <w:numPr>
          <w:ilvl w:val="0"/>
          <w:numId w:val="2"/>
        </w:numPr>
        <w:spacing w:after="80" w:line="276"/>
      </w:pPr>
      <w:r>
        <w:rPr>
          <w:rFonts w:ascii="Arial" w:cs="Arial" w:eastAsia="Arial" w:hAnsi="Arial"/>
          <w:color w:val="222222"/>
          <w:sz w:val="22"/>
          <w:szCs w:val="22"/>
        </w:rPr>
        <w:t xml:space="preserve">Enajenación o gravamen de activos que representen más del [___]% del activo total de la sociedad.</w:t>
      </w:r>
    </w:p>
    <w:p>
      <w:pPr>
        <w:pStyle w:val="ListParagraph"/>
        <w:numPr>
          <w:ilvl w:val="0"/>
          <w:numId w:val="2"/>
        </w:numPr>
        <w:spacing w:after="80" w:line="276"/>
      </w:pPr>
      <w:r>
        <w:rPr>
          <w:rFonts w:ascii="Arial" w:cs="Arial" w:eastAsia="Arial" w:hAnsi="Arial"/>
          <w:color w:val="222222"/>
          <w:sz w:val="22"/>
          <w:szCs w:val="22"/>
        </w:rPr>
        <w:t xml:space="preserve">Disolución anticipada de la sociedad.</w:t>
      </w:r>
    </w:p>
    <w:p>
      <w:pPr>
        <w:pStyle w:val="ListParagraph"/>
        <w:numPr>
          <w:ilvl w:val="0"/>
          <w:numId w:val="2"/>
        </w:numPr>
        <w:spacing w:after="80" w:line="276"/>
      </w:pPr>
      <w:r>
        <w:rPr>
          <w:rFonts w:ascii="Arial" w:cs="Arial" w:eastAsia="Arial" w:hAnsi="Arial"/>
          <w:color w:val="222222"/>
          <w:sz w:val="22"/>
          <w:szCs w:val="22"/>
        </w:rPr>
        <w:t xml:space="preserve">Aprobación de transacciones con vinculados económicos por montos superiores a [___] SMMLV.</w:t>
      </w:r>
    </w:p>
    <w:p>
      <w:pPr>
        <w:spacing w:after="80" w:before="200"/>
      </w:pPr>
      <w:r>
        <w:rPr>
          <w:rFonts w:ascii="Arial" w:cs="Arial" w:eastAsia="Arial" w:hAnsi="Arial"/>
          <w:b/>
          <w:bCs/>
          <w:color w:val="1B3A6B"/>
          <w:sz w:val="22"/>
          <w:szCs w:val="22"/>
        </w:rPr>
        <w:t xml:space="preserve">ARTÍCULO 15. </w:t>
      </w:r>
      <w:r>
        <w:rPr>
          <w:rFonts w:ascii="Arial" w:cs="Arial" w:eastAsia="Arial" w:hAnsi="Arial"/>
          <w:b/>
          <w:bCs/>
          <w:color w:val="222222"/>
          <w:sz w:val="22"/>
          <w:szCs w:val="22"/>
          <w:u w:val="single"/>
        </w:rPr>
        <w:t xml:space="preserve">JUNTA DIRECTIVA – COMPOSICIÓN. </w:t>
      </w:r>
    </w:p>
    <w:p>
      <w:pPr>
        <w:spacing w:after="120" w:line="276"/>
        <w:ind w:left="360"/>
        <w:jc w:val="both"/>
      </w:pPr>
      <w:r>
        <w:rPr>
          <w:rFonts w:ascii="Arial" w:cs="Arial" w:eastAsia="Arial" w:hAnsi="Arial"/>
          <w:color w:val="222222"/>
          <w:sz w:val="22"/>
          <w:szCs w:val="22"/>
        </w:rPr>
        <w:t xml:space="preserve">La Junta Directiva estará integrada por </w:t>
      </w:r>
      <w:r>
        <w:rPr>
          <w:rFonts w:ascii="Arial" w:cs="Arial" w:eastAsia="Arial" w:hAnsi="Arial"/>
          <w:b/>
          <w:bCs/>
          <w:color w:val="C0392B"/>
          <w:sz w:val="22"/>
          <w:szCs w:val="22"/>
          <w:u w:val="single"/>
        </w:rPr>
        <w:t xml:space="preserve"> [NÚMERO] </w:t>
      </w:r>
      <w:r>
        <w:rPr>
          <w:rFonts w:ascii="Arial" w:cs="Arial" w:eastAsia="Arial" w:hAnsi="Arial"/>
          <w:color w:val="222222"/>
          <w:sz w:val="22"/>
          <w:szCs w:val="22"/>
        </w:rPr>
        <w:t xml:space="preserve"> miembros principales, con sus respectivos suplentes, elegidos por la Asamblea de Accionistas para períodos de </w:t>
      </w:r>
      <w:r>
        <w:rPr>
          <w:rFonts w:ascii="Arial" w:cs="Arial" w:eastAsia="Arial" w:hAnsi="Arial"/>
          <w:b/>
          <w:bCs/>
          <w:color w:val="C0392B"/>
          <w:sz w:val="22"/>
          <w:szCs w:val="22"/>
          <w:u w:val="single"/>
        </w:rPr>
        <w:t xml:space="preserve"> [NÚMERO] </w:t>
      </w:r>
      <w:r>
        <w:rPr>
          <w:rFonts w:ascii="Arial" w:cs="Arial" w:eastAsia="Arial" w:hAnsi="Arial"/>
          <w:color w:val="222222"/>
          <w:sz w:val="22"/>
          <w:szCs w:val="22"/>
        </w:rPr>
        <w:t xml:space="preserve"> años, reelegibles. La conformación mínima será la siguiente:</w:t>
      </w:r>
    </w:p>
    <w:p>
      <w:pPr>
        <w:pStyle w:val="ListParagraph"/>
        <w:numPr>
          <w:ilvl w:val="0"/>
          <w:numId w:val="2"/>
        </w:numPr>
        <w:spacing w:after="80" w:line="276"/>
      </w:pPr>
      <w:r>
        <w:rPr>
          <w:rFonts w:ascii="Arial" w:cs="Arial" w:eastAsia="Arial" w:hAnsi="Arial"/>
          <w:color w:val="222222"/>
          <w:sz w:val="22"/>
          <w:szCs w:val="22"/>
        </w:rPr>
        <w:t xml:space="preserve">[___] representantes de los accionistas fundadores (Acciones Ordinarias).</w:t>
      </w:r>
    </w:p>
    <w:p>
      <w:pPr>
        <w:pStyle w:val="ListParagraph"/>
        <w:numPr>
          <w:ilvl w:val="0"/>
          <w:numId w:val="2"/>
        </w:numPr>
        <w:spacing w:after="80" w:line="276"/>
      </w:pPr>
      <w:r>
        <w:rPr>
          <w:rFonts w:ascii="Arial" w:cs="Arial" w:eastAsia="Arial" w:hAnsi="Arial"/>
          <w:color w:val="222222"/>
          <w:sz w:val="22"/>
          <w:szCs w:val="22"/>
        </w:rPr>
        <w:t xml:space="preserve">[___] representantes independientes con experiencia en tecnología o negocios digitales.</w:t>
      </w:r>
    </w:p>
    <w:p>
      <w:pPr>
        <w:pStyle w:val="ListParagraph"/>
        <w:numPr>
          <w:ilvl w:val="0"/>
          <w:numId w:val="2"/>
        </w:numPr>
        <w:spacing w:after="80" w:line="276"/>
      </w:pPr>
      <w:r>
        <w:rPr>
          <w:rFonts w:ascii="Arial" w:cs="Arial" w:eastAsia="Arial" w:hAnsi="Arial"/>
          <w:color w:val="222222"/>
          <w:sz w:val="22"/>
          <w:szCs w:val="22"/>
        </w:rPr>
        <w:t xml:space="preserve">[___] representante(s) de los inversionistas titulares de Acciones con Dividendo Preferencial, con derecho preferente de designación cuando estos posean individualmente o en conjunto el [___]% o más de las acciones en circulación.</w:t>
      </w:r>
    </w:p>
    <w:p>
      <w:pPr>
        <w:spacing w:after="80" w:before="200"/>
      </w:pPr>
      <w:r>
        <w:rPr>
          <w:rFonts w:ascii="Arial" w:cs="Arial" w:eastAsia="Arial" w:hAnsi="Arial"/>
          <w:b/>
          <w:bCs/>
          <w:color w:val="1B3A6B"/>
          <w:sz w:val="22"/>
          <w:szCs w:val="22"/>
        </w:rPr>
        <w:t xml:space="preserve">ARTÍCULO 16. </w:t>
      </w:r>
      <w:r>
        <w:rPr>
          <w:rFonts w:ascii="Arial" w:cs="Arial" w:eastAsia="Arial" w:hAnsi="Arial"/>
          <w:b/>
          <w:bCs/>
          <w:color w:val="222222"/>
          <w:sz w:val="22"/>
          <w:szCs w:val="22"/>
          <w:u w:val="single"/>
        </w:rPr>
        <w:t xml:space="preserve">FUNCIONES DE LA JUNTA DIRECTIVA. </w:t>
      </w:r>
    </w:p>
    <w:p>
      <w:pPr>
        <w:spacing w:after="160" w:line="276"/>
        <w:jc w:val="both"/>
      </w:pPr>
      <w:r>
        <w:rPr>
          <w:rFonts w:ascii="Arial" w:cs="Arial" w:eastAsia="Arial" w:hAnsi="Arial"/>
          <w:b w:val="false"/>
          <w:bCs w:val="false"/>
          <w:color w:val="222222"/>
          <w:sz w:val="22"/>
          <w:szCs w:val="22"/>
        </w:rPr>
        <w:t xml:space="preserve">Son funciones exclusivas e indelegables de la Junta Directiva:</w:t>
      </w:r>
    </w:p>
    <w:p>
      <w:pPr>
        <w:pStyle w:val="ListParagraph"/>
        <w:numPr>
          <w:ilvl w:val="0"/>
          <w:numId w:val="2"/>
        </w:numPr>
        <w:spacing w:after="80" w:line="276"/>
      </w:pPr>
      <w:r>
        <w:rPr>
          <w:rFonts w:ascii="Arial" w:cs="Arial" w:eastAsia="Arial" w:hAnsi="Arial"/>
          <w:color w:val="222222"/>
          <w:sz w:val="22"/>
          <w:szCs w:val="22"/>
        </w:rPr>
        <w:t xml:space="preserve">Establecer las políticas generales y la estrategia de negocio de la sociedad.</w:t>
      </w:r>
    </w:p>
    <w:p>
      <w:pPr>
        <w:pStyle w:val="ListParagraph"/>
        <w:numPr>
          <w:ilvl w:val="0"/>
          <w:numId w:val="2"/>
        </w:numPr>
        <w:spacing w:after="80" w:line="276"/>
      </w:pPr>
      <w:r>
        <w:rPr>
          <w:rFonts w:ascii="Arial" w:cs="Arial" w:eastAsia="Arial" w:hAnsi="Arial"/>
          <w:color w:val="222222"/>
          <w:sz w:val="22"/>
          <w:szCs w:val="22"/>
        </w:rPr>
        <w:t xml:space="preserve">Aprobar el presupuesto anual y el plan de negocios de la compañía.</w:t>
      </w:r>
    </w:p>
    <w:p>
      <w:pPr>
        <w:pStyle w:val="ListParagraph"/>
        <w:numPr>
          <w:ilvl w:val="0"/>
          <w:numId w:val="2"/>
        </w:numPr>
        <w:spacing w:after="80" w:line="276"/>
      </w:pPr>
      <w:r>
        <w:rPr>
          <w:rFonts w:ascii="Arial" w:cs="Arial" w:eastAsia="Arial" w:hAnsi="Arial"/>
          <w:color w:val="222222"/>
          <w:sz w:val="22"/>
          <w:szCs w:val="22"/>
        </w:rPr>
        <w:t xml:space="preserve">Autorizar operaciones de crédito cuyo monto individual supere [___] SMMLV.</w:t>
      </w:r>
    </w:p>
    <w:p>
      <w:pPr>
        <w:pStyle w:val="ListParagraph"/>
        <w:numPr>
          <w:ilvl w:val="0"/>
          <w:numId w:val="2"/>
        </w:numPr>
        <w:spacing w:after="80" w:line="276"/>
      </w:pPr>
      <w:r>
        <w:rPr>
          <w:rFonts w:ascii="Arial" w:cs="Arial" w:eastAsia="Arial" w:hAnsi="Arial"/>
          <w:color w:val="222222"/>
          <w:sz w:val="22"/>
          <w:szCs w:val="22"/>
        </w:rPr>
        <w:t xml:space="preserve">Designar y remover al Representante Legal y fijar su remuneración.</w:t>
      </w:r>
    </w:p>
    <w:p>
      <w:pPr>
        <w:pStyle w:val="ListParagraph"/>
        <w:numPr>
          <w:ilvl w:val="0"/>
          <w:numId w:val="2"/>
        </w:numPr>
        <w:spacing w:after="80" w:line="276"/>
      </w:pPr>
      <w:r>
        <w:rPr>
          <w:rFonts w:ascii="Arial" w:cs="Arial" w:eastAsia="Arial" w:hAnsi="Arial"/>
          <w:color w:val="222222"/>
          <w:sz w:val="22"/>
          <w:szCs w:val="22"/>
        </w:rPr>
        <w:t xml:space="preserve">Aprobar la estructura organizacional y la política de remuneración de la alta gerencia.</w:t>
      </w:r>
    </w:p>
    <w:p>
      <w:pPr>
        <w:pStyle w:val="ListParagraph"/>
        <w:numPr>
          <w:ilvl w:val="0"/>
          <w:numId w:val="2"/>
        </w:numPr>
        <w:spacing w:after="80" w:line="276"/>
      </w:pPr>
      <w:r>
        <w:rPr>
          <w:rFonts w:ascii="Arial" w:cs="Arial" w:eastAsia="Arial" w:hAnsi="Arial"/>
          <w:color w:val="222222"/>
          <w:sz w:val="22"/>
          <w:szCs w:val="22"/>
        </w:rPr>
        <w:t xml:space="preserve">Supervisar la gestión del Representante Legal y exigirle los informes que considere necesarios.</w:t>
      </w:r>
    </w:p>
    <w:p>
      <w:pPr>
        <w:pStyle w:val="ListParagraph"/>
        <w:numPr>
          <w:ilvl w:val="0"/>
          <w:numId w:val="2"/>
        </w:numPr>
        <w:spacing w:after="80" w:line="276"/>
      </w:pPr>
      <w:r>
        <w:rPr>
          <w:rFonts w:ascii="Arial" w:cs="Arial" w:eastAsia="Arial" w:hAnsi="Arial"/>
          <w:color w:val="222222"/>
          <w:sz w:val="22"/>
          <w:szCs w:val="22"/>
        </w:rPr>
        <w:t xml:space="preserve">Aprobar cualquier transacción que implique la adquisición o enajenación de participaciones en otras empresas.</w:t>
      </w:r>
    </w:p>
    <w:p>
      <w:pPr>
        <w:pStyle w:val="ListParagraph"/>
        <w:numPr>
          <w:ilvl w:val="0"/>
          <w:numId w:val="2"/>
        </w:numPr>
        <w:spacing w:after="80" w:line="276"/>
      </w:pPr>
      <w:r>
        <w:rPr>
          <w:rFonts w:ascii="Arial" w:cs="Arial" w:eastAsia="Arial" w:hAnsi="Arial"/>
          <w:color w:val="222222"/>
          <w:sz w:val="22"/>
          <w:szCs w:val="22"/>
        </w:rPr>
        <w:t xml:space="preserve">Las demás funciones que le asignen la ley y los estatutos sociales.</w:t>
      </w:r>
    </w:p>
    <w:p>
      <w:pPr>
        <w:spacing w:after="80" w:before="200"/>
      </w:pPr>
      <w:r>
        <w:rPr>
          <w:rFonts w:ascii="Arial" w:cs="Arial" w:eastAsia="Arial" w:hAnsi="Arial"/>
          <w:b/>
          <w:bCs/>
          <w:color w:val="1B3A6B"/>
          <w:sz w:val="22"/>
          <w:szCs w:val="22"/>
        </w:rPr>
        <w:t xml:space="preserve">ARTÍCULO 17. </w:t>
      </w:r>
      <w:r>
        <w:rPr>
          <w:rFonts w:ascii="Arial" w:cs="Arial" w:eastAsia="Arial" w:hAnsi="Arial"/>
          <w:b/>
          <w:bCs/>
          <w:color w:val="222222"/>
          <w:sz w:val="22"/>
          <w:szCs w:val="22"/>
          <w:u w:val="single"/>
        </w:rPr>
        <w:t xml:space="preserve">DERECHOS DE VETO – PROTECCIÓN A INVERSIONISTAS. </w:t>
      </w:r>
    </w:p>
    <w:p>
      <w:pPr>
        <w:spacing w:after="160" w:line="276"/>
        <w:jc w:val="both"/>
      </w:pPr>
      <w:r>
        <w:rPr>
          <w:rFonts w:ascii="Arial" w:cs="Arial" w:eastAsia="Arial" w:hAnsi="Arial"/>
          <w:b w:val="false"/>
          <w:bCs w:val="false"/>
          <w:color w:val="222222"/>
          <w:sz w:val="22"/>
          <w:szCs w:val="22"/>
        </w:rPr>
        <w:t xml:space="preserve">Los titulares de Acciones con Dividendo Preferencial que individualmente o en conjunto representen al menos el [___]% de las acciones en circulación de dicha clase, tendrán derecho de veto sobre las siguientes decisiones, debiendo manifestar su oposición por escrito dentro de los [___] días hábiles siguientes a la notificación de la decisión:</w:t>
      </w:r>
    </w:p>
    <w:p>
      <w:pPr>
        <w:pStyle w:val="ListParagraph"/>
        <w:numPr>
          <w:ilvl w:val="0"/>
          <w:numId w:val="2"/>
        </w:numPr>
        <w:spacing w:after="80" w:line="276"/>
      </w:pPr>
      <w:r>
        <w:rPr>
          <w:rFonts w:ascii="Arial" w:cs="Arial" w:eastAsia="Arial" w:hAnsi="Arial"/>
          <w:color w:val="222222"/>
          <w:sz w:val="22"/>
          <w:szCs w:val="22"/>
        </w:rPr>
        <w:t xml:space="preserve">Cualquier modificación a los derechos, preferencias o privilegios de las Acciones con Dividendo Preferencial.</w:t>
      </w:r>
    </w:p>
    <w:p>
      <w:pPr>
        <w:pStyle w:val="ListParagraph"/>
        <w:numPr>
          <w:ilvl w:val="0"/>
          <w:numId w:val="2"/>
        </w:numPr>
        <w:spacing w:after="80" w:line="276"/>
      </w:pPr>
      <w:r>
        <w:rPr>
          <w:rFonts w:ascii="Arial" w:cs="Arial" w:eastAsia="Arial" w:hAnsi="Arial"/>
          <w:color w:val="222222"/>
          <w:sz w:val="22"/>
          <w:szCs w:val="22"/>
        </w:rPr>
        <w:t xml:space="preserve">La creación de nuevas clases de acciones con derechos preferenciales iguales o superiores a los de las Acciones con Dividendo Preferencial existentes.</w:t>
      </w:r>
    </w:p>
    <w:p>
      <w:pPr>
        <w:pStyle w:val="ListParagraph"/>
        <w:numPr>
          <w:ilvl w:val="0"/>
          <w:numId w:val="2"/>
        </w:numPr>
        <w:spacing w:after="80" w:line="276"/>
      </w:pPr>
      <w:r>
        <w:rPr>
          <w:rFonts w:ascii="Arial" w:cs="Arial" w:eastAsia="Arial" w:hAnsi="Arial"/>
          <w:color w:val="222222"/>
          <w:sz w:val="22"/>
          <w:szCs w:val="22"/>
        </w:rPr>
        <w:t xml:space="preserve">La aprobación de cualquier fusión, adquisición o venta de activos que implique un cambio de control de la sociedad.</w:t>
      </w:r>
    </w:p>
    <w:p>
      <w:pPr>
        <w:pStyle w:val="ListParagraph"/>
        <w:numPr>
          <w:ilvl w:val="0"/>
          <w:numId w:val="2"/>
        </w:numPr>
        <w:spacing w:after="80" w:line="276"/>
      </w:pPr>
      <w:r>
        <w:rPr>
          <w:rFonts w:ascii="Arial" w:cs="Arial" w:eastAsia="Arial" w:hAnsi="Arial"/>
          <w:color w:val="222222"/>
          <w:sz w:val="22"/>
          <w:szCs w:val="22"/>
        </w:rPr>
        <w:t xml:space="preserve">La modificación del objeto social que afecte sustancialmente el giro ordinario de los negocios tecnológicos.</w:t>
      </w:r>
    </w:p>
    <w:p>
      <w:pPr>
        <w:pStyle w:val="ListParagraph"/>
        <w:numPr>
          <w:ilvl w:val="0"/>
          <w:numId w:val="2"/>
        </w:numPr>
        <w:spacing w:after="80" w:line="276"/>
      </w:pPr>
      <w:r>
        <w:rPr>
          <w:rFonts w:ascii="Arial" w:cs="Arial" w:eastAsia="Arial" w:hAnsi="Arial"/>
          <w:color w:val="222222"/>
          <w:sz w:val="22"/>
          <w:szCs w:val="22"/>
        </w:rPr>
        <w:t xml:space="preserve">La aprobación de endeudamiento que supere el [___]% del patrimonio neto de la sociedad.</w:t>
      </w:r>
    </w:p>
    <w:p>
      <w:pPr>
        <w:pStyle w:val="ListParagraph"/>
        <w:numPr>
          <w:ilvl w:val="0"/>
          <w:numId w:val="2"/>
        </w:numPr>
        <w:spacing w:after="80" w:line="276"/>
      </w:pPr>
      <w:r>
        <w:rPr>
          <w:rFonts w:ascii="Arial" w:cs="Arial" w:eastAsia="Arial" w:hAnsi="Arial"/>
          <w:color w:val="222222"/>
          <w:sz w:val="22"/>
          <w:szCs w:val="22"/>
        </w:rPr>
        <w:t xml:space="preserve">Cualquier distribución de dividendos que no respete la prelación de las Acciones con Dividendo Preferencial.</w:t>
      </w:r>
    </w:p>
    <w:p>
      <w:pPr>
        <w:pStyle w:val="ListParagraph"/>
        <w:numPr>
          <w:ilvl w:val="0"/>
          <w:numId w:val="2"/>
        </w:numPr>
        <w:spacing w:after="80" w:line="276"/>
      </w:pPr>
      <w:r>
        <w:rPr>
          <w:rFonts w:ascii="Arial" w:cs="Arial" w:eastAsia="Arial" w:hAnsi="Arial"/>
          <w:color w:val="222222"/>
          <w:sz w:val="22"/>
          <w:szCs w:val="22"/>
        </w:rPr>
        <w:t xml:space="preserve">La emisión de nuevas acciones o instrumentos convertibles que no incluyan derechos de participación proporcional (pro-rata rights) para los tenedores de Acciones Preferenciales.</w:t>
      </w:r>
    </w:p>
    <w:p>
      <w:pPr>
        <w:spacing w:after="80"/>
      </w:pPr>
      <w:r>
        <w:t xml:space="preserve"/>
      </w:r>
    </w:p>
    <w:p>
      <w:pPr>
        <w:spacing w:after="160" w:line="276"/>
        <w:jc w:val="both"/>
      </w:pPr>
      <w:r>
        <w:rPr>
          <w:rFonts w:ascii="Arial" w:cs="Arial" w:eastAsia="Arial" w:hAnsi="Arial"/>
          <w:b w:val="false"/>
          <w:bCs w:val="false"/>
          <w:color w:val="222222"/>
          <w:sz w:val="22"/>
          <w:szCs w:val="22"/>
        </w:rPr>
        <w:t xml:space="preserve">PARÁGRAFO: El ejercicio del derecho de veto no requerirá justificación adicional. No obstante, las partes se comprometen a negociar de buena fe una solución alternativa dentro de los [___] días hábiles siguientes al ejercicio del veto.</w:t>
      </w:r>
    </w:p>
    <w:p>
      <w:pPr>
        <w:spacing w:after="80" w:before="200"/>
      </w:pPr>
      <w:r>
        <w:rPr>
          <w:rFonts w:ascii="Arial" w:cs="Arial" w:eastAsia="Arial" w:hAnsi="Arial"/>
          <w:b/>
          <w:bCs/>
          <w:color w:val="1B3A6B"/>
          <w:sz w:val="22"/>
          <w:szCs w:val="22"/>
        </w:rPr>
        <w:t xml:space="preserve">ARTÍCULO 18. </w:t>
      </w:r>
      <w:r>
        <w:rPr>
          <w:rFonts w:ascii="Arial" w:cs="Arial" w:eastAsia="Arial" w:hAnsi="Arial"/>
          <w:b/>
          <w:bCs/>
          <w:color w:val="222222"/>
          <w:sz w:val="22"/>
          <w:szCs w:val="22"/>
          <w:u w:val="single"/>
        </w:rPr>
        <w:t xml:space="preserve">REPRESENTACIÓN LEGAL. </w:t>
      </w:r>
    </w:p>
    <w:p>
      <w:pPr>
        <w:spacing w:after="120" w:line="276"/>
        <w:ind w:left="360"/>
        <w:jc w:val="both"/>
      </w:pPr>
      <w:r>
        <w:rPr>
          <w:rFonts w:ascii="Arial" w:cs="Arial" w:eastAsia="Arial" w:hAnsi="Arial"/>
          <w:color w:val="222222"/>
          <w:sz w:val="22"/>
          <w:szCs w:val="22"/>
        </w:rPr>
        <w:t xml:space="preserve">La representación legal de la sociedad, tanto judicial como extrajudicial, estará a cargo del </w:t>
      </w:r>
      <w:r>
        <w:rPr>
          <w:rFonts w:ascii="Arial" w:cs="Arial" w:eastAsia="Arial" w:hAnsi="Arial"/>
          <w:b/>
          <w:bCs/>
          <w:color w:val="C0392B"/>
          <w:sz w:val="22"/>
          <w:szCs w:val="22"/>
          <w:u w:val="single"/>
        </w:rPr>
        <w:t xml:space="preserve"> [GERENTE GENERAL / REPRESENTANTE LEGAL] </w:t>
      </w:r>
      <w:r>
        <w:rPr>
          <w:rFonts w:ascii="Arial" w:cs="Arial" w:eastAsia="Arial" w:hAnsi="Arial"/>
          <w:color w:val="222222"/>
          <w:sz w:val="22"/>
          <w:szCs w:val="22"/>
        </w:rPr>
        <w:t xml:space="preserve">, identificado(a) con </w:t>
      </w:r>
      <w:r>
        <w:rPr>
          <w:rFonts w:ascii="Arial" w:cs="Arial" w:eastAsia="Arial" w:hAnsi="Arial"/>
          <w:b/>
          <w:bCs/>
          <w:color w:val="C0392B"/>
          <w:sz w:val="22"/>
          <w:szCs w:val="22"/>
          <w:u w:val="single"/>
        </w:rPr>
        <w:t xml:space="preserve"> [TIPO Y NÚMERO DE DOCUMENTO] </w:t>
      </w:r>
      <w:r>
        <w:rPr>
          <w:rFonts w:ascii="Arial" w:cs="Arial" w:eastAsia="Arial" w:hAnsi="Arial"/>
          <w:color w:val="222222"/>
          <w:sz w:val="22"/>
          <w:szCs w:val="22"/>
        </w:rPr>
        <w:t xml:space="preserve">, quien actuará bajo las instrucciones de la Junta Directiva y tendrá las siguientes facultades y limitaciones:</w:t>
      </w:r>
    </w:p>
    <w:p>
      <w:pPr>
        <w:pStyle w:val="ListParagraph"/>
        <w:numPr>
          <w:ilvl w:val="0"/>
          <w:numId w:val="2"/>
        </w:numPr>
        <w:spacing w:after="80" w:line="276"/>
      </w:pPr>
      <w:r>
        <w:rPr>
          <w:rFonts w:ascii="Arial" w:cs="Arial" w:eastAsia="Arial" w:hAnsi="Arial"/>
          <w:color w:val="222222"/>
          <w:sz w:val="22"/>
          <w:szCs w:val="22"/>
        </w:rPr>
        <w:t xml:space="preserve">Podrá celebrar contratos y compromisos en nombre de la sociedad hasta por el monto de [___] SMMLV sin autorización previa de la Junta Directiva.</w:t>
      </w:r>
    </w:p>
    <w:p>
      <w:pPr>
        <w:pStyle w:val="ListParagraph"/>
        <w:numPr>
          <w:ilvl w:val="0"/>
          <w:numId w:val="2"/>
        </w:numPr>
        <w:spacing w:after="80" w:line="276"/>
      </w:pPr>
      <w:r>
        <w:rPr>
          <w:rFonts w:ascii="Arial" w:cs="Arial" w:eastAsia="Arial" w:hAnsi="Arial"/>
          <w:color w:val="222222"/>
          <w:sz w:val="22"/>
          <w:szCs w:val="22"/>
        </w:rPr>
        <w:t xml:space="preserve">Para montos superiores al límite anterior, requerirá autorización previa de la Junta Directiva.</w:t>
      </w:r>
    </w:p>
    <w:p>
      <w:pPr>
        <w:pStyle w:val="ListParagraph"/>
        <w:numPr>
          <w:ilvl w:val="0"/>
          <w:numId w:val="2"/>
        </w:numPr>
        <w:spacing w:after="80" w:line="276"/>
      </w:pPr>
      <w:r>
        <w:rPr>
          <w:rFonts w:ascii="Arial" w:cs="Arial" w:eastAsia="Arial" w:hAnsi="Arial"/>
          <w:color w:val="222222"/>
          <w:sz w:val="22"/>
          <w:szCs w:val="22"/>
        </w:rPr>
        <w:t xml:space="preserve">Podrá contratar personal, abrir cuentas bancarias y ejecutar todas las operaciones propias del giro ordinario de los negocios de la sociedad.</w:t>
      </w:r>
    </w:p>
    <w:p>
      <w:pPr>
        <w:pBdr>
          <w:bottom w:val="single" w:color="CCCCCC" w:sz="2" w:space="1"/>
        </w:pBdr>
        <w:spacing w:after="120" w:before="120"/>
      </w:pPr>
      <w:r>
        <w:t xml:space="preserve"/>
      </w:r>
    </w:p>
    <w:p>
      <w:pPr>
        <w:pStyle w:val="Heading1"/>
      </w:pPr>
      <w:r>
        <w:t xml:space="preserve">CAPÍTULO VI – CLÁUSULAS DE SALIDA Y PROTECCIÓN</w:t>
      </w:r>
    </w:p>
    <w:p>
      <w:pPr>
        <w:spacing w:after="80" w:before="200"/>
      </w:pPr>
      <w:r>
        <w:rPr>
          <w:rFonts w:ascii="Arial" w:cs="Arial" w:eastAsia="Arial" w:hAnsi="Arial"/>
          <w:b/>
          <w:bCs/>
          <w:color w:val="1B3A6B"/>
          <w:sz w:val="22"/>
          <w:szCs w:val="22"/>
        </w:rPr>
        <w:t xml:space="preserve">ARTÍCULO 19. </w:t>
      </w:r>
      <w:r>
        <w:rPr>
          <w:rFonts w:ascii="Arial" w:cs="Arial" w:eastAsia="Arial" w:hAnsi="Arial"/>
          <w:b/>
          <w:bCs/>
          <w:color w:val="222222"/>
          <w:sz w:val="22"/>
          <w:szCs w:val="22"/>
          <w:u w:val="single"/>
        </w:rPr>
        <w:t xml:space="preserve">DERECHO DE ACOMPAÑAMIENTO (TAG-ALONG). </w:t>
      </w:r>
    </w:p>
    <w:p>
      <w:pPr>
        <w:spacing w:after="160" w:line="276"/>
        <w:jc w:val="both"/>
      </w:pPr>
      <w:r>
        <w:rPr>
          <w:rFonts w:ascii="Arial" w:cs="Arial" w:eastAsia="Arial" w:hAnsi="Arial"/>
          <w:b w:val="false"/>
          <w:bCs w:val="false"/>
          <w:color w:val="222222"/>
          <w:sz w:val="22"/>
          <w:szCs w:val="22"/>
        </w:rPr>
        <w:t xml:space="preserve">En caso de que uno o varios accionistas ("Accionista(s) Vendedor(es)") deseen transferir acciones a un tercero ("Comprador Potencial"), los demás accionistas tendrán el derecho, pero no la obligación, de participar en dicha venta en los mismos términos y condiciones negociados por el Accionista Vendedor ("Derecho de Tag-Along"). El procedimiento aplicable será:</w:t>
      </w:r>
    </w:p>
    <w:p>
      <w:pPr>
        <w:pStyle w:val="ListParagraph"/>
        <w:numPr>
          <w:ilvl w:val="0"/>
          <w:numId w:val="2"/>
        </w:numPr>
        <w:spacing w:after="80" w:line="276"/>
      </w:pPr>
      <w:r>
        <w:rPr>
          <w:rFonts w:ascii="Arial" w:cs="Arial" w:eastAsia="Arial" w:hAnsi="Arial"/>
          <w:color w:val="222222"/>
          <w:sz w:val="22"/>
          <w:szCs w:val="22"/>
        </w:rPr>
        <w:t xml:space="preserve">El Accionista Vendedor deberá notificar por escrito a los demás accionistas con no menos de [___] días hábiles de anticipación, indicando: (i) identidad del Comprador Potencial; (ii) número y clase de acciones objeto de la venta; (iii) precio por acción; y (iv) demás condiciones materiales de la transacción.</w:t>
      </w:r>
    </w:p>
    <w:p>
      <w:pPr>
        <w:pStyle w:val="ListParagraph"/>
        <w:numPr>
          <w:ilvl w:val="0"/>
          <w:numId w:val="2"/>
        </w:numPr>
        <w:spacing w:after="80" w:line="276"/>
      </w:pPr>
      <w:r>
        <w:rPr>
          <w:rFonts w:ascii="Arial" w:cs="Arial" w:eastAsia="Arial" w:hAnsi="Arial"/>
          <w:color w:val="222222"/>
          <w:sz w:val="22"/>
          <w:szCs w:val="22"/>
        </w:rPr>
        <w:t xml:space="preserve">Los accionistas que deseen ejercer el Derecho de Tag-Along deberán manifestarlo por escrito dentro de los [___] días hábiles siguientes a la recepción de la notificación, indicando el número de acciones que desean incluir en la venta.</w:t>
      </w:r>
    </w:p>
    <w:p>
      <w:pPr>
        <w:pStyle w:val="ListParagraph"/>
        <w:numPr>
          <w:ilvl w:val="0"/>
          <w:numId w:val="2"/>
        </w:numPr>
        <w:spacing w:after="80" w:line="276"/>
      </w:pPr>
      <w:r>
        <w:rPr>
          <w:rFonts w:ascii="Arial" w:cs="Arial" w:eastAsia="Arial" w:hAnsi="Arial"/>
          <w:color w:val="222222"/>
          <w:sz w:val="22"/>
          <w:szCs w:val="22"/>
        </w:rPr>
        <w:t xml:space="preserve">Si el Comprador Potencial no estuviere dispuesto a adquirir la totalidad de las acciones ofrecidas (incluyendo las de los accionistas que ejerzan el Tag-Along), la transacción podrá reducirse proporcionalmente o el Accionista Vendedor deberá desistir de la misma.</w:t>
      </w:r>
    </w:p>
    <w:p>
      <w:pPr>
        <w:pStyle w:val="ListParagraph"/>
        <w:numPr>
          <w:ilvl w:val="0"/>
          <w:numId w:val="2"/>
        </w:numPr>
        <w:spacing w:after="80" w:line="276"/>
      </w:pPr>
      <w:r>
        <w:rPr>
          <w:rFonts w:ascii="Arial" w:cs="Arial" w:eastAsia="Arial" w:hAnsi="Arial"/>
          <w:color w:val="222222"/>
          <w:sz w:val="22"/>
          <w:szCs w:val="22"/>
        </w:rPr>
        <w:t xml:space="preserve">El precio y las condiciones aplicables a las acciones de los accionistas que ejerzan el Derecho de Tag-Along no podrán ser menos favorables que los pactados para el Accionista Vendedor.</w:t>
      </w:r>
    </w:p>
    <w:p>
      <w:pPr>
        <w:spacing w:after="80" w:before="200"/>
      </w:pPr>
      <w:r>
        <w:rPr>
          <w:rFonts w:ascii="Arial" w:cs="Arial" w:eastAsia="Arial" w:hAnsi="Arial"/>
          <w:b/>
          <w:bCs/>
          <w:color w:val="1B3A6B"/>
          <w:sz w:val="22"/>
          <w:szCs w:val="22"/>
        </w:rPr>
        <w:t xml:space="preserve">ARTÍCULO 20. </w:t>
      </w:r>
      <w:r>
        <w:rPr>
          <w:rFonts w:ascii="Arial" w:cs="Arial" w:eastAsia="Arial" w:hAnsi="Arial"/>
          <w:b/>
          <w:bCs/>
          <w:color w:val="222222"/>
          <w:sz w:val="22"/>
          <w:szCs w:val="22"/>
          <w:u w:val="single"/>
        </w:rPr>
        <w:t xml:space="preserve">DERECHO DE ARRASTRE (DRAG-ALONG). </w:t>
      </w:r>
    </w:p>
    <w:p>
      <w:pPr>
        <w:spacing w:after="160" w:line="276"/>
        <w:jc w:val="both"/>
      </w:pPr>
      <w:r>
        <w:rPr>
          <w:rFonts w:ascii="Arial" w:cs="Arial" w:eastAsia="Arial" w:hAnsi="Arial"/>
          <w:b w:val="false"/>
          <w:bCs w:val="false"/>
          <w:color w:val="222222"/>
          <w:sz w:val="22"/>
          <w:szCs w:val="22"/>
        </w:rPr>
        <w:t xml:space="preserve">Si accionistas que representen al menos el [___]% de las acciones en circulación ("Accionistas Arrastradores") deciden vender la totalidad o una parte sustancial de las acciones de la sociedad a un tercero ("Adquirente"), podrán exigir a los demás accionistas ("Accionistas Arrastrados") que vendan sus acciones al mismo Adquirente, en los mismos términos y condiciones, conforme al siguiente procedimiento:</w:t>
      </w:r>
    </w:p>
    <w:p>
      <w:pPr>
        <w:pStyle w:val="ListParagraph"/>
        <w:numPr>
          <w:ilvl w:val="0"/>
          <w:numId w:val="2"/>
        </w:numPr>
        <w:spacing w:after="80" w:line="276"/>
      </w:pPr>
      <w:r>
        <w:rPr>
          <w:rFonts w:ascii="Arial" w:cs="Arial" w:eastAsia="Arial" w:hAnsi="Arial"/>
          <w:color w:val="222222"/>
          <w:sz w:val="22"/>
          <w:szCs w:val="22"/>
        </w:rPr>
        <w:t xml:space="preserve">Los Accionistas Arrastradores deberán notificar por escrito a los Accionistas Arrastrados con no menos de [___] días hábiles de anticipación, adjuntando los términos y condiciones definitivos de la transacción propuesta.</w:t>
      </w:r>
    </w:p>
    <w:p>
      <w:pPr>
        <w:pStyle w:val="ListParagraph"/>
        <w:numPr>
          <w:ilvl w:val="0"/>
          <w:numId w:val="2"/>
        </w:numPr>
        <w:spacing w:after="80" w:line="276"/>
      </w:pPr>
      <w:r>
        <w:rPr>
          <w:rFonts w:ascii="Arial" w:cs="Arial" w:eastAsia="Arial" w:hAnsi="Arial"/>
          <w:color w:val="222222"/>
          <w:sz w:val="22"/>
          <w:szCs w:val="22"/>
        </w:rPr>
        <w:t xml:space="preserve">El precio de compra de las acciones de los Accionistas Arrastrados no podrá ser inferior al precio pagado a los Accionistas Arrastradores, y deberá respetar la prelación de liquidación de cada clase de acción.</w:t>
      </w:r>
    </w:p>
    <w:p>
      <w:pPr>
        <w:pStyle w:val="ListParagraph"/>
        <w:numPr>
          <w:ilvl w:val="0"/>
          <w:numId w:val="2"/>
        </w:numPr>
        <w:spacing w:after="80" w:line="276"/>
      </w:pPr>
      <w:r>
        <w:rPr>
          <w:rFonts w:ascii="Arial" w:cs="Arial" w:eastAsia="Arial" w:hAnsi="Arial"/>
          <w:color w:val="222222"/>
          <w:sz w:val="22"/>
          <w:szCs w:val="22"/>
        </w:rPr>
        <w:t xml:space="preserve">Los Accionistas Arrastrados deberán suscribir todos los documentos necesarios para perfeccionar la transacción dentro del plazo establecido en la notificación, so pena de que el Representante Legal quede facultado para suscribirlos en su nombre y representación.</w:t>
      </w:r>
    </w:p>
    <w:p>
      <w:pPr>
        <w:pStyle w:val="ListParagraph"/>
        <w:numPr>
          <w:ilvl w:val="0"/>
          <w:numId w:val="2"/>
        </w:numPr>
        <w:spacing w:after="80" w:line="276"/>
      </w:pPr>
      <w:r>
        <w:rPr>
          <w:rFonts w:ascii="Arial" w:cs="Arial" w:eastAsia="Arial" w:hAnsi="Arial"/>
          <w:color w:val="222222"/>
          <w:sz w:val="22"/>
          <w:szCs w:val="22"/>
        </w:rPr>
        <w:t xml:space="preserve">El Derecho de Drag-Along no podrá ejercerse si la transacción implica el pago del precio en especie, salvo que los Accionistas Arrastrados consientan expresamente.</w:t>
      </w:r>
    </w:p>
    <w:p>
      <w:pPr>
        <w:spacing w:after="80"/>
      </w:pPr>
      <w:r>
        <w:t xml:space="preserve"/>
      </w:r>
    </w:p>
    <w:p>
      <w:pPr>
        <w:spacing w:after="160" w:line="276"/>
        <w:jc w:val="both"/>
      </w:pPr>
      <w:r>
        <w:rPr>
          <w:rFonts w:ascii="Arial" w:cs="Arial" w:eastAsia="Arial" w:hAnsi="Arial"/>
          <w:b w:val="false"/>
          <w:bCs w:val="false"/>
          <w:color w:val="222222"/>
          <w:sz w:val="22"/>
          <w:szCs w:val="22"/>
        </w:rPr>
        <w:t xml:space="preserve">PARÁGRAFO: En ningún caso el ejercicio del Derecho de Drag-Along podrá obligar a los Accionistas Arrastrados a asumir representaciones, garantías o indemnizaciones que excedan el valor de la contraprestación recibida por sus acciones.</w:t>
      </w:r>
    </w:p>
    <w:p>
      <w:pPr>
        <w:spacing w:after="80" w:before="200"/>
      </w:pPr>
      <w:r>
        <w:rPr>
          <w:rFonts w:ascii="Arial" w:cs="Arial" w:eastAsia="Arial" w:hAnsi="Arial"/>
          <w:b/>
          <w:bCs/>
          <w:color w:val="1B3A6B"/>
          <w:sz w:val="22"/>
          <w:szCs w:val="22"/>
        </w:rPr>
        <w:t xml:space="preserve">ARTÍCULO 21. </w:t>
      </w:r>
      <w:r>
        <w:rPr>
          <w:rFonts w:ascii="Arial" w:cs="Arial" w:eastAsia="Arial" w:hAnsi="Arial"/>
          <w:b/>
          <w:bCs/>
          <w:color w:val="222222"/>
          <w:sz w:val="22"/>
          <w:szCs w:val="22"/>
          <w:u w:val="single"/>
        </w:rPr>
        <w:t xml:space="preserve">CLÁUSULA ANTI-DILUCIÓN. </w:t>
      </w:r>
    </w:p>
    <w:p>
      <w:pPr>
        <w:spacing w:after="160" w:line="276"/>
        <w:jc w:val="both"/>
      </w:pPr>
      <w:r>
        <w:rPr>
          <w:rFonts w:ascii="Arial" w:cs="Arial" w:eastAsia="Arial" w:hAnsi="Arial"/>
          <w:b w:val="false"/>
          <w:bCs w:val="false"/>
          <w:color w:val="222222"/>
          <w:sz w:val="22"/>
          <w:szCs w:val="22"/>
        </w:rPr>
        <w:t xml:space="preserve">Los titulares de Acciones con Dividendo Preferencial gozarán de protección anti-dilución frente a emisiones de acciones a precios inferiores al precio pagado por ellos ("Down Round"). El tipo de protección anti-dilución aplicable será: [___] (seleccionar: Broad-Based Weighted Average / Narrow-Based Weighted Average / Full Ratchet). Las condiciones específicas y la fórmula de ajuste serán determinadas en el reglamento de emisión de cada clase de acciones preferenciales.</w:t>
      </w:r>
    </w:p>
    <w:p>
      <w:pPr>
        <w:spacing w:after="80" w:before="200"/>
      </w:pPr>
      <w:r>
        <w:rPr>
          <w:rFonts w:ascii="Arial" w:cs="Arial" w:eastAsia="Arial" w:hAnsi="Arial"/>
          <w:b/>
          <w:bCs/>
          <w:color w:val="1B3A6B"/>
          <w:sz w:val="22"/>
          <w:szCs w:val="22"/>
        </w:rPr>
        <w:t xml:space="preserve">ARTÍCULO 22. </w:t>
      </w:r>
      <w:r>
        <w:rPr>
          <w:rFonts w:ascii="Arial" w:cs="Arial" w:eastAsia="Arial" w:hAnsi="Arial"/>
          <w:b/>
          <w:bCs/>
          <w:color w:val="222222"/>
          <w:sz w:val="22"/>
          <w:szCs w:val="22"/>
          <w:u w:val="single"/>
        </w:rPr>
        <w:t xml:space="preserve">LIQUIDATION PREFERENCE – PRELACIÓN EN LIQUIDACIÓN. </w:t>
      </w:r>
    </w:p>
    <w:p>
      <w:pPr>
        <w:spacing w:after="160" w:line="276"/>
        <w:jc w:val="both"/>
      </w:pPr>
      <w:r>
        <w:rPr>
          <w:rFonts w:ascii="Arial" w:cs="Arial" w:eastAsia="Arial" w:hAnsi="Arial"/>
          <w:b w:val="false"/>
          <w:bCs w:val="false"/>
          <w:color w:val="222222"/>
          <w:sz w:val="22"/>
          <w:szCs w:val="22"/>
        </w:rPr>
        <w:t xml:space="preserve">En caso de liquidación de la sociedad, evento de cambio de control, venta de activos o cualquier distribución de activos entre accionistas, la distribución se realizará en el siguiente orden de prelación:</w:t>
      </w:r>
    </w:p>
    <w:p>
      <w:pPr>
        <w:pStyle w:val="ListParagraph"/>
        <w:numPr>
          <w:ilvl w:val="0"/>
          <w:numId w:val="2"/>
        </w:numPr>
        <w:spacing w:after="80" w:line="276"/>
      </w:pPr>
      <w:r>
        <w:rPr>
          <w:rFonts w:ascii="Arial" w:cs="Arial" w:eastAsia="Arial" w:hAnsi="Arial"/>
          <w:color w:val="222222"/>
          <w:sz w:val="22"/>
          <w:szCs w:val="22"/>
        </w:rPr>
        <w:t xml:space="preserve">PRIMERO: Los acreedores de la sociedad, conforme a las disposiciones legales aplicables.</w:t>
      </w:r>
    </w:p>
    <w:p>
      <w:pPr>
        <w:pStyle w:val="ListParagraph"/>
        <w:numPr>
          <w:ilvl w:val="0"/>
          <w:numId w:val="2"/>
        </w:numPr>
        <w:spacing w:after="80" w:line="276"/>
      </w:pPr>
      <w:r>
        <w:rPr>
          <w:rFonts w:ascii="Arial" w:cs="Arial" w:eastAsia="Arial" w:hAnsi="Arial"/>
          <w:color w:val="222222"/>
          <w:sz w:val="22"/>
          <w:szCs w:val="22"/>
        </w:rPr>
        <w:t xml:space="preserve">SEGUNDO: Los titulares de Acciones con Dividendo Preferencial Acumulativo, quienes recibirán: (i) el valor total de su inversión más los dividendos preferentes acumulados no pagados; y (ii) en caso de haberse pactado una preferencia participativa, una proporción del remanente conforme al reglamento de emisión.</w:t>
      </w:r>
    </w:p>
    <w:p>
      <w:pPr>
        <w:pStyle w:val="ListParagraph"/>
        <w:numPr>
          <w:ilvl w:val="0"/>
          <w:numId w:val="2"/>
        </w:numPr>
        <w:spacing w:after="80" w:line="276"/>
      </w:pPr>
      <w:r>
        <w:rPr>
          <w:rFonts w:ascii="Arial" w:cs="Arial" w:eastAsia="Arial" w:hAnsi="Arial"/>
          <w:color w:val="222222"/>
          <w:sz w:val="22"/>
          <w:szCs w:val="22"/>
        </w:rPr>
        <w:t xml:space="preserve">TERCERO: Los titulares de Acciones con Dividendo Preferencial no acumulativo, quienes recibirán el valor de su inversión, más los dividendos preferentes del último período no pagados.</w:t>
      </w:r>
    </w:p>
    <w:p>
      <w:pPr>
        <w:pStyle w:val="ListParagraph"/>
        <w:numPr>
          <w:ilvl w:val="0"/>
          <w:numId w:val="2"/>
        </w:numPr>
        <w:spacing w:after="80" w:line="276"/>
      </w:pPr>
      <w:r>
        <w:rPr>
          <w:rFonts w:ascii="Arial" w:cs="Arial" w:eastAsia="Arial" w:hAnsi="Arial"/>
          <w:color w:val="222222"/>
          <w:sz w:val="22"/>
          <w:szCs w:val="22"/>
        </w:rPr>
        <w:t xml:space="preserve">CUARTO: Los titulares de Acciones Ordinarias, quienes recibirán el remanente a prorrata de su participación.</w:t>
      </w:r>
    </w:p>
    <w:p>
      <w:pPr>
        <w:spacing w:after="80" w:before="200"/>
      </w:pPr>
      <w:r>
        <w:rPr>
          <w:rFonts w:ascii="Arial" w:cs="Arial" w:eastAsia="Arial" w:hAnsi="Arial"/>
          <w:b/>
          <w:bCs/>
          <w:color w:val="1B3A6B"/>
          <w:sz w:val="22"/>
          <w:szCs w:val="22"/>
        </w:rPr>
        <w:t xml:space="preserve">ARTÍCULO 23. </w:t>
      </w:r>
      <w:r>
        <w:rPr>
          <w:rFonts w:ascii="Arial" w:cs="Arial" w:eastAsia="Arial" w:hAnsi="Arial"/>
          <w:b/>
          <w:bCs/>
          <w:color w:val="222222"/>
          <w:sz w:val="22"/>
          <w:szCs w:val="22"/>
          <w:u w:val="single"/>
        </w:rPr>
        <w:t xml:space="preserve">RESTRICCIÓN TEMPORAL DE TRANSFERENCIA (LOCK-UP). </w:t>
      </w:r>
    </w:p>
    <w:p>
      <w:pPr>
        <w:spacing w:after="160" w:line="276"/>
        <w:ind w:left="360"/>
        <w:jc w:val="both"/>
      </w:pPr>
      <w:r>
        <w:rPr>
          <w:rFonts w:ascii="Arial" w:cs="Arial" w:eastAsia="Arial" w:hAnsi="Arial"/>
          <w:color w:val="222222"/>
          <w:sz w:val="22"/>
          <w:szCs w:val="22"/>
        </w:rPr>
        <w:t xml:space="preserve">Los accionistas fundadores se obligan a no vender, transferir, pignorar ni gravar en forma alguna sus acciones durante un período de [___] meses contados desde la fecha de cierre de la primera ronda de financiación institucional de la sociedad ("Período de Lock-Up"), salvo con el consentimiento previo y escrito de los titulares del [___]% de las Acciones con Dividendo Preferencial.</w:t>
      </w:r>
    </w:p>
    <w:p>
      <w:pPr>
        <w:pBdr>
          <w:bottom w:val="single" w:color="CCCCCC" w:sz="2" w:space="1"/>
        </w:pBdr>
        <w:spacing w:after="120" w:before="120"/>
      </w:pPr>
      <w:r>
        <w:t xml:space="preserve"/>
      </w:r>
    </w:p>
    <w:p>
      <w:pPr>
        <w:pStyle w:val="Heading1"/>
      </w:pPr>
      <w:r>
        <w:t xml:space="preserve">CAPÍTULO VII – PROPIEDAD INTELECTUAL</w:t>
      </w:r>
    </w:p>
    <w:p>
      <w:pPr>
        <w:spacing w:after="80" w:before="200"/>
      </w:pPr>
      <w:r>
        <w:rPr>
          <w:rFonts w:ascii="Arial" w:cs="Arial" w:eastAsia="Arial" w:hAnsi="Arial"/>
          <w:b/>
          <w:bCs/>
          <w:color w:val="1B3A6B"/>
          <w:sz w:val="22"/>
          <w:szCs w:val="22"/>
        </w:rPr>
        <w:t xml:space="preserve">ARTÍCULO 24. </w:t>
      </w:r>
      <w:r>
        <w:rPr>
          <w:rFonts w:ascii="Arial" w:cs="Arial" w:eastAsia="Arial" w:hAnsi="Arial"/>
          <w:b/>
          <w:bCs/>
          <w:color w:val="222222"/>
          <w:sz w:val="22"/>
          <w:szCs w:val="22"/>
          <w:u w:val="single"/>
        </w:rPr>
        <w:t xml:space="preserve">TITULARIDAD DE CREACIONES INTELECTUALES. </w:t>
      </w:r>
    </w:p>
    <w:p>
      <w:pPr>
        <w:spacing w:after="160" w:line="276"/>
        <w:jc w:val="both"/>
      </w:pPr>
      <w:r>
        <w:rPr>
          <w:rFonts w:ascii="Arial" w:cs="Arial" w:eastAsia="Arial" w:hAnsi="Arial"/>
          <w:b w:val="false"/>
          <w:bCs w:val="false"/>
          <w:color w:val="222222"/>
          <w:sz w:val="22"/>
          <w:szCs w:val="22"/>
        </w:rPr>
        <w:t xml:space="preserve">Todos los derechos de propiedad intelectual, incluyendo derechos de autor, patentes, secretos empresariales, marcas, diseños industriales, nombres de dominio, software, código fuente y cualquier otra creación susceptible de protección intelectual, que sean desarrollados, concebidos, inventados o creados por los socios, accionistas, directivos, empleados, contratistas o asesores de la sociedad en el marco de su relación con la misma, serán de titularidad exclusiva de la sociedad. Para estos efectos:</w:t>
      </w:r>
    </w:p>
    <w:p>
      <w:pPr>
        <w:pStyle w:val="ListParagraph"/>
        <w:numPr>
          <w:ilvl w:val="0"/>
          <w:numId w:val="2"/>
        </w:numPr>
        <w:spacing w:after="80" w:line="276"/>
      </w:pPr>
      <w:r>
        <w:rPr>
          <w:rFonts w:ascii="Arial" w:cs="Arial" w:eastAsia="Arial" w:hAnsi="Arial"/>
          <w:color w:val="222222"/>
          <w:sz w:val="22"/>
          <w:szCs w:val="22"/>
        </w:rPr>
        <w:t xml:space="preserve">Se presume que toda creación realizada durante la vigencia de la relación laboral, contractual o societaria, y que guarde relación con el objeto social o las actividades de la sociedad, ha sido desarrollada en el marco de dicha relación, salvo prueba en contrario.</w:t>
      </w:r>
    </w:p>
    <w:p>
      <w:pPr>
        <w:pStyle w:val="ListParagraph"/>
        <w:numPr>
          <w:ilvl w:val="0"/>
          <w:numId w:val="2"/>
        </w:numPr>
        <w:spacing w:after="80" w:line="276"/>
      </w:pPr>
      <w:r>
        <w:rPr>
          <w:rFonts w:ascii="Arial" w:cs="Arial" w:eastAsia="Arial" w:hAnsi="Arial"/>
          <w:color w:val="222222"/>
          <w:sz w:val="22"/>
          <w:szCs w:val="22"/>
        </w:rPr>
        <w:t xml:space="preserve">Los empleados y contratistas deberán suscribir, al inicio de su relación con la sociedad, un acuerdo de cesión de derechos de propiedad intelectual en los términos establecidos en los artículos 20 y 23 de la Ley 23 de 1982 y demás normas concordantes.</w:t>
      </w:r>
    </w:p>
    <w:p>
      <w:pPr>
        <w:pStyle w:val="ListParagraph"/>
        <w:numPr>
          <w:ilvl w:val="0"/>
          <w:numId w:val="2"/>
        </w:numPr>
        <w:spacing w:after="80" w:line="276"/>
      </w:pPr>
      <w:r>
        <w:rPr>
          <w:rFonts w:ascii="Arial" w:cs="Arial" w:eastAsia="Arial" w:hAnsi="Arial"/>
          <w:color w:val="222222"/>
          <w:sz w:val="22"/>
          <w:szCs w:val="22"/>
        </w:rPr>
        <w:t xml:space="preserve">Esta disposición se aplicará incluso cuando la creación se haya realizado fuera del horario laboral, en instalaciones distintas a las de la sociedad o utilizando recursos propios del creador, siempre que la creación esté directamente relacionada con el objeto social o los proyectos de la sociedad.</w:t>
      </w:r>
    </w:p>
    <w:p>
      <w:pPr>
        <w:spacing w:after="80" w:before="200"/>
      </w:pPr>
      <w:r>
        <w:rPr>
          <w:rFonts w:ascii="Arial" w:cs="Arial" w:eastAsia="Arial" w:hAnsi="Arial"/>
          <w:b/>
          <w:bCs/>
          <w:color w:val="1B3A6B"/>
          <w:sz w:val="22"/>
          <w:szCs w:val="22"/>
        </w:rPr>
        <w:t xml:space="preserve">ARTÍCULO 25. </w:t>
      </w:r>
      <w:r>
        <w:rPr>
          <w:rFonts w:ascii="Arial" w:cs="Arial" w:eastAsia="Arial" w:hAnsi="Arial"/>
          <w:b/>
          <w:bCs/>
          <w:color w:val="222222"/>
          <w:sz w:val="22"/>
          <w:szCs w:val="22"/>
          <w:u w:val="single"/>
        </w:rPr>
        <w:t xml:space="preserve">CONFIDENCIALIDAD Y SECRETOS EMPRESARIALES. </w:t>
      </w:r>
    </w:p>
    <w:p>
      <w:pPr>
        <w:spacing w:after="160" w:line="276"/>
        <w:jc w:val="both"/>
      </w:pPr>
      <w:r>
        <w:rPr>
          <w:rFonts w:ascii="Arial" w:cs="Arial" w:eastAsia="Arial" w:hAnsi="Arial"/>
          <w:b w:val="false"/>
          <w:bCs w:val="false"/>
          <w:color w:val="222222"/>
          <w:sz w:val="22"/>
          <w:szCs w:val="22"/>
        </w:rPr>
        <w:t xml:space="preserve">Los socios, accionistas, directivos, empleados y contratistas de la sociedad se obligan a mantener la más estricta confidencialidad respecto de toda información técnica, comercial, financiera, estratégica o de cualquier otra naturaleza que sea de carácter reservado o confidencial, incluyendo:</w:t>
      </w:r>
    </w:p>
    <w:p>
      <w:pPr>
        <w:pStyle w:val="ListParagraph"/>
        <w:numPr>
          <w:ilvl w:val="0"/>
          <w:numId w:val="2"/>
        </w:numPr>
        <w:spacing w:after="80" w:line="276"/>
      </w:pPr>
      <w:r>
        <w:rPr>
          <w:rFonts w:ascii="Arial" w:cs="Arial" w:eastAsia="Arial" w:hAnsi="Arial"/>
          <w:color w:val="222222"/>
          <w:sz w:val="22"/>
          <w:szCs w:val="22"/>
        </w:rPr>
        <w:t xml:space="preserve">Código fuente, algoritmos, bases de datos y arquitectura de software.</w:t>
      </w:r>
    </w:p>
    <w:p>
      <w:pPr>
        <w:pStyle w:val="ListParagraph"/>
        <w:numPr>
          <w:ilvl w:val="0"/>
          <w:numId w:val="2"/>
        </w:numPr>
        <w:spacing w:after="80" w:line="276"/>
      </w:pPr>
      <w:r>
        <w:rPr>
          <w:rFonts w:ascii="Arial" w:cs="Arial" w:eastAsia="Arial" w:hAnsi="Arial"/>
          <w:color w:val="222222"/>
          <w:sz w:val="22"/>
          <w:szCs w:val="22"/>
        </w:rPr>
        <w:t xml:space="preserve">Información de clientes, proveedores y socios comerciales.</w:t>
      </w:r>
    </w:p>
    <w:p>
      <w:pPr>
        <w:pStyle w:val="ListParagraph"/>
        <w:numPr>
          <w:ilvl w:val="0"/>
          <w:numId w:val="2"/>
        </w:numPr>
        <w:spacing w:after="80" w:line="276"/>
      </w:pPr>
      <w:r>
        <w:rPr>
          <w:rFonts w:ascii="Arial" w:cs="Arial" w:eastAsia="Arial" w:hAnsi="Arial"/>
          <w:color w:val="222222"/>
          <w:sz w:val="22"/>
          <w:szCs w:val="22"/>
        </w:rPr>
        <w:t xml:space="preserve">Estrategias de negocio, planes de expansión y proyecciones financieras.</w:t>
      </w:r>
    </w:p>
    <w:p>
      <w:pPr>
        <w:pStyle w:val="ListParagraph"/>
        <w:numPr>
          <w:ilvl w:val="0"/>
          <w:numId w:val="2"/>
        </w:numPr>
        <w:spacing w:after="80" w:line="276"/>
      </w:pPr>
      <w:r>
        <w:rPr>
          <w:rFonts w:ascii="Arial" w:cs="Arial" w:eastAsia="Arial" w:hAnsi="Arial"/>
          <w:color w:val="222222"/>
          <w:sz w:val="22"/>
          <w:szCs w:val="22"/>
        </w:rPr>
        <w:t xml:space="preserve">Metodologías, procesos y know-how técnico propietario.</w:t>
      </w:r>
    </w:p>
    <w:p>
      <w:pPr>
        <w:spacing w:after="80"/>
      </w:pPr>
      <w:r>
        <w:t xml:space="preserve"/>
      </w:r>
    </w:p>
    <w:p>
      <w:pPr>
        <w:spacing w:after="160" w:line="276"/>
        <w:jc w:val="both"/>
      </w:pPr>
      <w:r>
        <w:rPr>
          <w:rFonts w:ascii="Arial" w:cs="Arial" w:eastAsia="Arial" w:hAnsi="Arial"/>
          <w:b w:val="false"/>
          <w:bCs w:val="false"/>
          <w:color w:val="222222"/>
          <w:sz w:val="22"/>
          <w:szCs w:val="22"/>
        </w:rPr>
        <w:t xml:space="preserve">PARÁGRAFO: La obligación de confidencialidad subsistirá por un período de [___] años contados desde la terminación de la relación societaria, laboral o contractual con la sociedad, salvo que la información haya pasado al dominio público por medios distintos al incumplimiento de esta obligación.</w:t>
      </w:r>
    </w:p>
    <w:p>
      <w:pPr>
        <w:spacing w:after="80" w:before="200"/>
      </w:pPr>
      <w:r>
        <w:rPr>
          <w:rFonts w:ascii="Arial" w:cs="Arial" w:eastAsia="Arial" w:hAnsi="Arial"/>
          <w:b/>
          <w:bCs/>
          <w:color w:val="1B3A6B"/>
          <w:sz w:val="22"/>
          <w:szCs w:val="22"/>
        </w:rPr>
        <w:t xml:space="preserve">ARTÍCULO 26. </w:t>
      </w:r>
      <w:r>
        <w:rPr>
          <w:rFonts w:ascii="Arial" w:cs="Arial" w:eastAsia="Arial" w:hAnsi="Arial"/>
          <w:b/>
          <w:bCs/>
          <w:color w:val="222222"/>
          <w:sz w:val="22"/>
          <w:szCs w:val="22"/>
          <w:u w:val="single"/>
        </w:rPr>
        <w:t xml:space="preserve">NO COMPETENCIA. </w:t>
      </w:r>
    </w:p>
    <w:p>
      <w:pPr>
        <w:spacing w:after="160" w:line="276"/>
        <w:ind w:left="360"/>
        <w:jc w:val="both"/>
      </w:pPr>
      <w:r>
        <w:rPr>
          <w:rFonts w:ascii="Arial" w:cs="Arial" w:eastAsia="Arial" w:hAnsi="Arial"/>
          <w:color w:val="222222"/>
          <w:sz w:val="22"/>
          <w:szCs w:val="22"/>
        </w:rPr>
        <w:t xml:space="preserve">Los accionistas titulares de más del [___]% de las acciones en circulación se obligan a no desarrollar, directa o indirectamente, actividades que compitan con el objeto social de la sociedad durante la vigencia de su participación accionaria y por un período de [___] años contados desde la fecha en que transfieran la totalidad de sus acciones. Esta obligación se extiende a las personas jurídicas en las que dichos accionistas tengan una participación de control.</w:t>
      </w:r>
    </w:p>
    <w:p>
      <w:pPr>
        <w:pBdr>
          <w:bottom w:val="single" w:color="CCCCCC" w:sz="2" w:space="1"/>
        </w:pBdr>
        <w:spacing w:after="120" w:before="120"/>
      </w:pPr>
      <w:r>
        <w:t xml:space="preserve"/>
      </w:r>
    </w:p>
    <w:p>
      <w:pPr>
        <w:pStyle w:val="Heading1"/>
      </w:pPr>
      <w:r>
        <w:t xml:space="preserve">CAPÍTULO VIII – DISTRIBUCIÓN DE UTILIDADES Y DIVIDENDOS</w:t>
      </w:r>
    </w:p>
    <w:p>
      <w:pPr>
        <w:spacing w:after="80" w:before="200"/>
      </w:pPr>
      <w:r>
        <w:rPr>
          <w:rFonts w:ascii="Arial" w:cs="Arial" w:eastAsia="Arial" w:hAnsi="Arial"/>
          <w:b/>
          <w:bCs/>
          <w:color w:val="1B3A6B"/>
          <w:sz w:val="22"/>
          <w:szCs w:val="22"/>
        </w:rPr>
        <w:t xml:space="preserve">ARTÍCULO 27. </w:t>
      </w:r>
      <w:r>
        <w:rPr>
          <w:rFonts w:ascii="Arial" w:cs="Arial" w:eastAsia="Arial" w:hAnsi="Arial"/>
          <w:b/>
          <w:bCs/>
          <w:color w:val="222222"/>
          <w:sz w:val="22"/>
          <w:szCs w:val="22"/>
          <w:u w:val="single"/>
        </w:rPr>
        <w:t xml:space="preserve">RESERVA LEGAL Y DISTRIBUCIÓN DE UTILIDADES. </w:t>
      </w:r>
    </w:p>
    <w:p>
      <w:pPr>
        <w:spacing w:after="160" w:line="276"/>
        <w:ind w:left="360"/>
        <w:jc w:val="both"/>
      </w:pPr>
      <w:r>
        <w:rPr>
          <w:rFonts w:ascii="Arial" w:cs="Arial" w:eastAsia="Arial" w:hAnsi="Arial"/>
          <w:color w:val="222222"/>
          <w:sz w:val="22"/>
          <w:szCs w:val="22"/>
        </w:rPr>
        <w:t xml:space="preserve">De las utilidades netas de cada ejercicio se destinarán el diez por ciento (10%) para la formación de la reserva legal, hasta que dicha reserva alcance el cincuenta por ciento (50%) del capital suscrito. Constituida la reserva legal, la distribución de las utilidades restantes seguirá el orden de prelación establecido en el Artículo 22 de los presentes estatutos. La Asamblea de Accionistas podrá, con mayoría calificada del [___]%, aprobar la capitalización de utilidades en lugar de su distribución, mediante la emisión de acciones liberadas.</w:t>
      </w:r>
    </w:p>
    <w:p>
      <w:pPr>
        <w:pBdr>
          <w:bottom w:val="single" w:color="CCCCCC" w:sz="2" w:space="1"/>
        </w:pBdr>
        <w:spacing w:after="120" w:before="120"/>
      </w:pPr>
      <w:r>
        <w:t xml:space="preserve"/>
      </w:r>
    </w:p>
    <w:p>
      <w:pPr>
        <w:pStyle w:val="Heading1"/>
      </w:pPr>
      <w:r>
        <w:t xml:space="preserve">CAPÍTULO IX – DISOLUCIÓN Y LIQUIDACIÓN</w:t>
      </w:r>
    </w:p>
    <w:p>
      <w:pPr>
        <w:spacing w:after="80" w:before="200"/>
      </w:pPr>
      <w:r>
        <w:rPr>
          <w:rFonts w:ascii="Arial" w:cs="Arial" w:eastAsia="Arial" w:hAnsi="Arial"/>
          <w:b/>
          <w:bCs/>
          <w:color w:val="1B3A6B"/>
          <w:sz w:val="22"/>
          <w:szCs w:val="22"/>
        </w:rPr>
        <w:t xml:space="preserve">ARTÍCULO 28. </w:t>
      </w:r>
      <w:r>
        <w:rPr>
          <w:rFonts w:ascii="Arial" w:cs="Arial" w:eastAsia="Arial" w:hAnsi="Arial"/>
          <w:b/>
          <w:bCs/>
          <w:color w:val="222222"/>
          <w:sz w:val="22"/>
          <w:szCs w:val="22"/>
          <w:u w:val="single"/>
        </w:rPr>
        <w:t xml:space="preserve">CAUSALES DE DISOLUCIÓN. </w:t>
      </w:r>
    </w:p>
    <w:p>
      <w:pPr>
        <w:spacing w:after="160" w:line="276"/>
        <w:jc w:val="both"/>
      </w:pPr>
      <w:r>
        <w:rPr>
          <w:rFonts w:ascii="Arial" w:cs="Arial" w:eastAsia="Arial" w:hAnsi="Arial"/>
          <w:b w:val="false"/>
          <w:bCs w:val="false"/>
          <w:color w:val="222222"/>
          <w:sz w:val="22"/>
          <w:szCs w:val="22"/>
        </w:rPr>
        <w:t xml:space="preserve">La sociedad se disolverá por las siguientes causales:</w:t>
      </w:r>
    </w:p>
    <w:p>
      <w:pPr>
        <w:pStyle w:val="ListParagraph"/>
        <w:numPr>
          <w:ilvl w:val="0"/>
          <w:numId w:val="2"/>
        </w:numPr>
        <w:spacing w:after="80" w:line="276"/>
      </w:pPr>
      <w:r>
        <w:rPr>
          <w:rFonts w:ascii="Arial" w:cs="Arial" w:eastAsia="Arial" w:hAnsi="Arial"/>
          <w:color w:val="222222"/>
          <w:sz w:val="22"/>
          <w:szCs w:val="22"/>
        </w:rPr>
        <w:t xml:space="preserve">Por decisión de la Asamblea de Accionistas adoptada con la mayoría calificada establecida en el Artículo 14 de los presentes estatutos.</w:t>
      </w:r>
    </w:p>
    <w:p>
      <w:pPr>
        <w:pStyle w:val="ListParagraph"/>
        <w:numPr>
          <w:ilvl w:val="0"/>
          <w:numId w:val="2"/>
        </w:numPr>
        <w:spacing w:after="80" w:line="276"/>
      </w:pPr>
      <w:r>
        <w:rPr>
          <w:rFonts w:ascii="Arial" w:cs="Arial" w:eastAsia="Arial" w:hAnsi="Arial"/>
          <w:color w:val="222222"/>
          <w:sz w:val="22"/>
          <w:szCs w:val="22"/>
        </w:rPr>
        <w:t xml:space="preserve">Por las causales previstas en el artículo 34 de la Ley 1258 de 2008 y demás normas concordantes.</w:t>
      </w:r>
    </w:p>
    <w:p>
      <w:pPr>
        <w:pStyle w:val="ListParagraph"/>
        <w:numPr>
          <w:ilvl w:val="0"/>
          <w:numId w:val="2"/>
        </w:numPr>
        <w:spacing w:after="80" w:line="276"/>
      </w:pPr>
      <w:r>
        <w:rPr>
          <w:rFonts w:ascii="Arial" w:cs="Arial" w:eastAsia="Arial" w:hAnsi="Arial"/>
          <w:color w:val="222222"/>
          <w:sz w:val="22"/>
          <w:szCs w:val="22"/>
        </w:rPr>
        <w:t xml:space="preserve">Por orden de autoridad competente.</w:t>
      </w:r>
    </w:p>
    <w:p>
      <w:pPr>
        <w:pStyle w:val="ListParagraph"/>
        <w:numPr>
          <w:ilvl w:val="0"/>
          <w:numId w:val="2"/>
        </w:numPr>
        <w:spacing w:after="80" w:line="276"/>
      </w:pPr>
      <w:r>
        <w:rPr>
          <w:rFonts w:ascii="Arial" w:cs="Arial" w:eastAsia="Arial" w:hAnsi="Arial"/>
          <w:color w:val="222222"/>
          <w:sz w:val="22"/>
          <w:szCs w:val="22"/>
        </w:rPr>
        <w:t xml:space="preserve">Por reducción del número de accionistas a uno (1) solo, siempre que dicha situación persista por más de seis (6) meses, conforme a la ley.</w:t>
      </w:r>
    </w:p>
    <w:p>
      <w:pPr>
        <w:spacing w:after="80" w:before="200"/>
      </w:pPr>
      <w:r>
        <w:rPr>
          <w:rFonts w:ascii="Arial" w:cs="Arial" w:eastAsia="Arial" w:hAnsi="Arial"/>
          <w:b/>
          <w:bCs/>
          <w:color w:val="1B3A6B"/>
          <w:sz w:val="22"/>
          <w:szCs w:val="22"/>
        </w:rPr>
        <w:t xml:space="preserve">ARTÍCULO 29. </w:t>
      </w:r>
      <w:r>
        <w:rPr>
          <w:rFonts w:ascii="Arial" w:cs="Arial" w:eastAsia="Arial" w:hAnsi="Arial"/>
          <w:b/>
          <w:bCs/>
          <w:color w:val="222222"/>
          <w:sz w:val="22"/>
          <w:szCs w:val="22"/>
          <w:u w:val="single"/>
        </w:rPr>
        <w:t xml:space="preserve">LIQUIDACIÓN. </w:t>
      </w:r>
    </w:p>
    <w:p>
      <w:pPr>
        <w:spacing w:after="160" w:line="276"/>
        <w:ind w:left="360"/>
        <w:jc w:val="both"/>
      </w:pPr>
      <w:r>
        <w:rPr>
          <w:rFonts w:ascii="Arial" w:cs="Arial" w:eastAsia="Arial" w:hAnsi="Arial"/>
          <w:color w:val="222222"/>
          <w:sz w:val="22"/>
          <w:szCs w:val="22"/>
        </w:rPr>
        <w:t xml:space="preserve">Disuelta la sociedad, se procederá a su liquidación de conformidad con las normas del Código de Comercio y la Ley 1258 de 2008. El liquidador será designado por la Asamblea de Accionistas y deberá observar el orden de prelación establecido en el Artículo 22 de los presentes estatutos para la distribución de los activos remanentes.</w:t>
      </w:r>
    </w:p>
    <w:p>
      <w:pPr>
        <w:pBdr>
          <w:bottom w:val="single" w:color="CCCCCC" w:sz="2" w:space="1"/>
        </w:pBdr>
        <w:spacing w:after="120" w:before="120"/>
      </w:pPr>
      <w:r>
        <w:t xml:space="preserve"/>
      </w:r>
    </w:p>
    <w:p>
      <w:pPr>
        <w:pStyle w:val="Heading1"/>
      </w:pPr>
      <w:r>
        <w:t xml:space="preserve">CAPÍTULO X – RESOLUCIÓN DE CONTROVERSIAS</w:t>
      </w:r>
    </w:p>
    <w:p>
      <w:pPr>
        <w:spacing w:after="80" w:before="200"/>
      </w:pPr>
      <w:r>
        <w:rPr>
          <w:rFonts w:ascii="Arial" w:cs="Arial" w:eastAsia="Arial" w:hAnsi="Arial"/>
          <w:b/>
          <w:bCs/>
          <w:color w:val="1B3A6B"/>
          <w:sz w:val="22"/>
          <w:szCs w:val="22"/>
        </w:rPr>
        <w:t xml:space="preserve">ARTÍCULO 30. </w:t>
      </w:r>
      <w:r>
        <w:rPr>
          <w:rFonts w:ascii="Arial" w:cs="Arial" w:eastAsia="Arial" w:hAnsi="Arial"/>
          <w:b/>
          <w:bCs/>
          <w:color w:val="222222"/>
          <w:sz w:val="22"/>
          <w:szCs w:val="22"/>
          <w:u w:val="single"/>
        </w:rPr>
        <w:t xml:space="preserve">MECANISMOS ALTERNATIVOS DE SOLUCIÓN DE CONFLICTOS. </w:t>
      </w:r>
    </w:p>
    <w:p>
      <w:pPr>
        <w:spacing w:after="160" w:line="276"/>
        <w:jc w:val="both"/>
      </w:pPr>
      <w:r>
        <w:rPr>
          <w:rFonts w:ascii="Arial" w:cs="Arial" w:eastAsia="Arial" w:hAnsi="Arial"/>
          <w:b w:val="false"/>
          <w:bCs w:val="false"/>
          <w:color w:val="222222"/>
          <w:sz w:val="22"/>
          <w:szCs w:val="22"/>
        </w:rPr>
        <w:t xml:space="preserve">Toda controversia, disputa o diferencia que surja entre los accionistas, o entre los accionistas y la sociedad, en relación con la interpretación, ejecución, cumplimiento o terminación de los presentes estatutos o de cualquier acuerdo celebrado en el marco de los mismos, será resuelta mediante el siguiente procedimiento escalonado:</w:t>
      </w:r>
    </w:p>
    <w:p>
      <w:pPr>
        <w:pStyle w:val="ListParagraph"/>
        <w:numPr>
          <w:ilvl w:val="0"/>
          <w:numId w:val="2"/>
        </w:numPr>
        <w:spacing w:after="80" w:line="276"/>
      </w:pPr>
      <w:r>
        <w:rPr>
          <w:rFonts w:ascii="Arial" w:cs="Arial" w:eastAsia="Arial" w:hAnsi="Arial"/>
          <w:color w:val="222222"/>
          <w:sz w:val="22"/>
          <w:szCs w:val="22"/>
        </w:rPr>
        <w:t xml:space="preserve">ETAPA 1 – Negociación Directa: Las partes intentarán resolver la controversia mediante negociación directa y de buena fe durante un período máximo de [___] días hábiles.</w:t>
      </w:r>
    </w:p>
    <w:p>
      <w:pPr>
        <w:pStyle w:val="ListParagraph"/>
        <w:numPr>
          <w:ilvl w:val="0"/>
          <w:numId w:val="2"/>
        </w:numPr>
        <w:spacing w:after="80" w:line="276"/>
      </w:pPr>
      <w:r>
        <w:rPr>
          <w:rFonts w:ascii="Arial" w:cs="Arial" w:eastAsia="Arial" w:hAnsi="Arial"/>
          <w:color w:val="222222"/>
          <w:sz w:val="22"/>
          <w:szCs w:val="22"/>
        </w:rPr>
        <w:t xml:space="preserve">ETAPA 2 – Mediación: Si la negociación directa fracasa, las partes someterán la controversia a un proceso de mediación ante el Centro de Conciliación y Arbitraje de la Cámara de Comercio de [___], por un período máximo de [___] días hábiles.</w:t>
      </w:r>
    </w:p>
    <w:p>
      <w:pPr>
        <w:pStyle w:val="ListParagraph"/>
        <w:numPr>
          <w:ilvl w:val="0"/>
          <w:numId w:val="2"/>
        </w:numPr>
        <w:spacing w:after="80" w:line="276"/>
      </w:pPr>
      <w:r>
        <w:rPr>
          <w:rFonts w:ascii="Arial" w:cs="Arial" w:eastAsia="Arial" w:hAnsi="Arial"/>
          <w:color w:val="222222"/>
          <w:sz w:val="22"/>
          <w:szCs w:val="22"/>
        </w:rPr>
        <w:t xml:space="preserve">ETAPA 3 – Arbitraje: Si la mediación fracasa, la controversia será resuelta definitivamente mediante arbitramento institucional, administrado por el Centro de Arbitraje y Conciliación de la Cámara de Comercio de [___], conforme al Reglamento vigente al momento del inicio del proceso. El Tribunal estará integrado por [___] árbitro(s) y fallará en derecho.</w:t>
      </w:r>
    </w:p>
    <w:p>
      <w:pPr>
        <w:pBdr>
          <w:bottom w:val="single" w:color="CCCCCC" w:sz="2" w:space="1"/>
        </w:pBdr>
        <w:spacing w:after="120" w:before="120"/>
      </w:pPr>
      <w:r>
        <w:t xml:space="preserve"/>
      </w:r>
    </w:p>
    <w:p>
      <w:pPr>
        <w:pStyle w:val="Heading1"/>
      </w:pPr>
      <w:r>
        <w:t xml:space="preserve">CAPÍTULO XI – DISPOSICIONES FINALES</w:t>
      </w:r>
    </w:p>
    <w:p>
      <w:pPr>
        <w:spacing w:after="80" w:before="200"/>
      </w:pPr>
      <w:r>
        <w:rPr>
          <w:rFonts w:ascii="Arial" w:cs="Arial" w:eastAsia="Arial" w:hAnsi="Arial"/>
          <w:b/>
          <w:bCs/>
          <w:color w:val="1B3A6B"/>
          <w:sz w:val="22"/>
          <w:szCs w:val="22"/>
        </w:rPr>
        <w:t xml:space="preserve">ARTÍCULO 31. </w:t>
      </w:r>
      <w:r>
        <w:rPr>
          <w:rFonts w:ascii="Arial" w:cs="Arial" w:eastAsia="Arial" w:hAnsi="Arial"/>
          <w:b/>
          <w:bCs/>
          <w:color w:val="222222"/>
          <w:sz w:val="22"/>
          <w:szCs w:val="22"/>
          <w:u w:val="single"/>
        </w:rPr>
        <w:t xml:space="preserve">ACUERDOS DE ACCIONISTAS. </w:t>
      </w:r>
    </w:p>
    <w:p>
      <w:pPr>
        <w:spacing w:after="160" w:line="276"/>
        <w:ind w:left="360"/>
        <w:jc w:val="both"/>
      </w:pPr>
      <w:r>
        <w:rPr>
          <w:rFonts w:ascii="Arial" w:cs="Arial" w:eastAsia="Arial" w:hAnsi="Arial"/>
          <w:color w:val="222222"/>
          <w:sz w:val="22"/>
          <w:szCs w:val="22"/>
        </w:rPr>
        <w:t xml:space="preserve">Los presentes estatutos no impiden la celebración de acuerdos de accionistas (shareholders' agreements) entre algunos o todos los socios, que desarrollen, complementen o adicionen las disposiciones aquí contenidas, siempre que no las contradigan. En caso de contradicción entre un acuerdo de accionistas y los presentes estatutos, prevalecerán estos últimos. Los acuerdos de accionistas deberán ser depositados en las oficinas de la sociedad para ser oponibles a la misma.</w:t>
      </w:r>
    </w:p>
    <w:p>
      <w:pPr>
        <w:spacing w:after="80" w:before="200"/>
      </w:pPr>
      <w:r>
        <w:rPr>
          <w:rFonts w:ascii="Arial" w:cs="Arial" w:eastAsia="Arial" w:hAnsi="Arial"/>
          <w:b/>
          <w:bCs/>
          <w:color w:val="1B3A6B"/>
          <w:sz w:val="22"/>
          <w:szCs w:val="22"/>
        </w:rPr>
        <w:t xml:space="preserve">ARTÍCULO 32. </w:t>
      </w:r>
      <w:r>
        <w:rPr>
          <w:rFonts w:ascii="Arial" w:cs="Arial" w:eastAsia="Arial" w:hAnsi="Arial"/>
          <w:b/>
          <w:bCs/>
          <w:color w:val="222222"/>
          <w:sz w:val="22"/>
          <w:szCs w:val="22"/>
          <w:u w:val="single"/>
        </w:rPr>
        <w:t xml:space="preserve">ENMIENDAS ESTATUTARIAS. </w:t>
      </w:r>
    </w:p>
    <w:p>
      <w:pPr>
        <w:spacing w:after="160" w:line="276"/>
        <w:ind w:left="360"/>
        <w:jc w:val="both"/>
      </w:pPr>
      <w:r>
        <w:rPr>
          <w:rFonts w:ascii="Arial" w:cs="Arial" w:eastAsia="Arial" w:hAnsi="Arial"/>
          <w:color w:val="222222"/>
          <w:sz w:val="22"/>
          <w:szCs w:val="22"/>
        </w:rPr>
        <w:t xml:space="preserve">Los presentes estatutos podrán ser modificados por la Asamblea de Accionistas con las mayorías establecidas en el Artículo 14, previo el cumplimiento de los requisitos de convocatoria y quórum previstos en la ley y en los presentes estatutos. Toda reforma estatutaria deberá ser inscrita en el Registro Mercantil de la Cámara de Comercio del domicilio social.</w:t>
      </w:r>
    </w:p>
    <w:p>
      <w:pPr>
        <w:spacing w:after="80" w:before="200"/>
      </w:pPr>
      <w:r>
        <w:rPr>
          <w:rFonts w:ascii="Arial" w:cs="Arial" w:eastAsia="Arial" w:hAnsi="Arial"/>
          <w:b/>
          <w:bCs/>
          <w:color w:val="1B3A6B"/>
          <w:sz w:val="22"/>
          <w:szCs w:val="22"/>
        </w:rPr>
        <w:t xml:space="preserve">ARTÍCULO 33. </w:t>
      </w:r>
      <w:r>
        <w:rPr>
          <w:rFonts w:ascii="Arial" w:cs="Arial" w:eastAsia="Arial" w:hAnsi="Arial"/>
          <w:b/>
          <w:bCs/>
          <w:color w:val="222222"/>
          <w:sz w:val="22"/>
          <w:szCs w:val="22"/>
          <w:u w:val="single"/>
        </w:rPr>
        <w:t xml:space="preserve">RÉGIMEN SUPLETORIO. </w:t>
      </w:r>
    </w:p>
    <w:p>
      <w:pPr>
        <w:spacing w:after="160" w:line="276"/>
        <w:ind w:left="360"/>
        <w:jc w:val="both"/>
      </w:pPr>
      <w:r>
        <w:rPr>
          <w:rFonts w:ascii="Arial" w:cs="Arial" w:eastAsia="Arial" w:hAnsi="Arial"/>
          <w:color w:val="222222"/>
          <w:sz w:val="22"/>
          <w:szCs w:val="22"/>
        </w:rPr>
        <w:t xml:space="preserve">En lo no previsto en los presentes estatutos, la sociedad se regirá por las disposiciones de la Ley 1258 de 2008, el Código de Comercio, el Código Civil y demás normas aplicables del ordenamiento jurídico colombiano.</w:t>
      </w:r>
    </w:p>
    <w:p>
      <w:pPr>
        <w:spacing w:after="80" w:before="200"/>
      </w:pPr>
      <w:r>
        <w:rPr>
          <w:rFonts w:ascii="Arial" w:cs="Arial" w:eastAsia="Arial" w:hAnsi="Arial"/>
          <w:b/>
          <w:bCs/>
          <w:color w:val="1B3A6B"/>
          <w:sz w:val="22"/>
          <w:szCs w:val="22"/>
        </w:rPr>
        <w:t xml:space="preserve">ARTÍCULO 34. </w:t>
      </w:r>
      <w:r>
        <w:rPr>
          <w:rFonts w:ascii="Arial" w:cs="Arial" w:eastAsia="Arial" w:hAnsi="Arial"/>
          <w:b/>
          <w:bCs/>
          <w:color w:val="222222"/>
          <w:sz w:val="22"/>
          <w:szCs w:val="22"/>
          <w:u w:val="single"/>
        </w:rPr>
        <w:t xml:space="preserve">TEXTO DE CONSTITUCIÓN Y FIRMAS. </w:t>
      </w:r>
    </w:p>
    <w:p>
      <w:pPr>
        <w:spacing w:after="160" w:line="276"/>
        <w:ind w:left="360"/>
        <w:jc w:val="both"/>
      </w:pPr>
      <w:r>
        <w:rPr>
          <w:rFonts w:ascii="Arial" w:cs="Arial" w:eastAsia="Arial" w:hAnsi="Arial"/>
          <w:color w:val="222222"/>
          <w:sz w:val="22"/>
          <w:szCs w:val="22"/>
        </w:rPr>
        <w:t xml:space="preserve">En constancia de lo anterior, los suscritos accionistas fundadores, con plena capacidad legal para obligarse, declaran que el presente documento constituye los Estatutos Sociales de </w:t>
      </w:r>
      <w:r>
        <w:rPr>
          <w:rFonts w:ascii="Arial" w:cs="Arial" w:eastAsia="Arial" w:hAnsi="Arial"/>
          <w:b/>
          <w:bCs/>
          <w:color w:val="C0392B"/>
          <w:sz w:val="22"/>
          <w:szCs w:val="22"/>
          <w:u w:val="single"/>
        </w:rPr>
        <w:t xml:space="preserve"> [NOMBRE DE LA SOCIEDAD] </w:t>
      </w:r>
      <w:r>
        <w:rPr>
          <w:rFonts w:ascii="Arial" w:cs="Arial" w:eastAsia="Arial" w:hAnsi="Arial"/>
          <w:color w:val="222222"/>
          <w:sz w:val="22"/>
          <w:szCs w:val="22"/>
        </w:rPr>
        <w:t xml:space="preserve"> S.A.S., y proceden a firmarlo en la ciudad de </w:t>
      </w:r>
      <w:r>
        <w:rPr>
          <w:rFonts w:ascii="Arial" w:cs="Arial" w:eastAsia="Arial" w:hAnsi="Arial"/>
          <w:b/>
          <w:bCs/>
          <w:color w:val="C0392B"/>
          <w:sz w:val="22"/>
          <w:szCs w:val="22"/>
          <w:u w:val="single"/>
        </w:rPr>
        <w:t xml:space="preserve"> [CIUDAD] </w:t>
      </w:r>
      <w:r>
        <w:rPr>
          <w:rFonts w:ascii="Arial" w:cs="Arial" w:eastAsia="Arial" w:hAnsi="Arial"/>
          <w:color w:val="222222"/>
          <w:sz w:val="22"/>
          <w:szCs w:val="22"/>
        </w:rPr>
        <w:t xml:space="preserve">, el día </w:t>
      </w:r>
      <w:r>
        <w:rPr>
          <w:rFonts w:ascii="Arial" w:cs="Arial" w:eastAsia="Arial" w:hAnsi="Arial"/>
          <w:b/>
          <w:bCs/>
          <w:color w:val="C0392B"/>
          <w:sz w:val="22"/>
          <w:szCs w:val="22"/>
          <w:u w:val="single"/>
        </w:rPr>
        <w:t xml:space="preserve"> [DD] </w:t>
      </w:r>
      <w:r>
        <w:rPr>
          <w:rFonts w:ascii="Arial" w:cs="Arial" w:eastAsia="Arial" w:hAnsi="Arial"/>
          <w:color w:val="222222"/>
          <w:sz w:val="22"/>
          <w:szCs w:val="22"/>
        </w:rPr>
        <w:t xml:space="preserve"> del mes de </w:t>
      </w:r>
      <w:r>
        <w:rPr>
          <w:rFonts w:ascii="Arial" w:cs="Arial" w:eastAsia="Arial" w:hAnsi="Arial"/>
          <w:b/>
          <w:bCs/>
          <w:color w:val="C0392B"/>
          <w:sz w:val="22"/>
          <w:szCs w:val="22"/>
          <w:u w:val="single"/>
        </w:rPr>
        <w:t xml:space="preserve"> [MES] </w:t>
      </w:r>
      <w:r>
        <w:rPr>
          <w:rFonts w:ascii="Arial" w:cs="Arial" w:eastAsia="Arial" w:hAnsi="Arial"/>
          <w:color w:val="222222"/>
          <w:sz w:val="22"/>
          <w:szCs w:val="22"/>
        </w:rPr>
        <w:t xml:space="preserve"> del año </w:t>
      </w:r>
      <w:r>
        <w:rPr>
          <w:rFonts w:ascii="Arial" w:cs="Arial" w:eastAsia="Arial" w:hAnsi="Arial"/>
          <w:b/>
          <w:bCs/>
          <w:color w:val="C0392B"/>
          <w:sz w:val="22"/>
          <w:szCs w:val="22"/>
          <w:u w:val="single"/>
        </w:rPr>
        <w:t xml:space="preserve"> [AAAA] </w:t>
      </w:r>
      <w:r>
        <w:rPr>
          <w:rFonts w:ascii="Arial" w:cs="Arial" w:eastAsia="Arial" w:hAnsi="Arial"/>
          <w:color w:val="222222"/>
          <w:sz w:val="22"/>
          <w:szCs w:val="22"/>
        </w:rPr>
        <w:t xml:space="preserve">.</w:t>
      </w:r>
    </w:p>
    <w:p>
      <w:pPr>
        <w:spacing w:after="80"/>
      </w:pPr>
      <w:r>
        <w:t xml:space="preserve"/>
      </w:r>
    </w:p>
    <w:p>
      <w:pPr>
        <w:spacing w:after="80"/>
      </w:pPr>
      <w:r>
        <w:t xml:space="preserve"/>
      </w:r>
    </w:p>
    <w:p>
      <w:pPr>
        <w:pBdr>
          <w:bottom w:val="single" w:color="CCCCCC" w:sz="2" w:space="1"/>
        </w:pBdr>
        <w:spacing w:after="120" w:before="120"/>
      </w:pPr>
      <w:r>
        <w:t xml:space="preserve"/>
      </w:r>
    </w:p>
    <w:p>
      <w:pPr>
        <w:spacing w:after="40"/>
        <w:jc w:val="center"/>
      </w:pPr>
      <w:r>
        <w:rPr>
          <w:rFonts w:ascii="Arial" w:cs="Arial" w:eastAsia="Arial" w:hAnsi="Arial"/>
          <w:b/>
          <w:bCs/>
          <w:color w:val="1B3A6B"/>
          <w:sz w:val="22"/>
          <w:szCs w:val="22"/>
        </w:rPr>
        <w:t xml:space="preserve">ACCIONISTA FUNDADOR N.° 1</w:t>
      </w:r>
    </w:p>
    <w:p>
      <w:pPr>
        <w:spacing w:after="40"/>
        <w:jc w:val="center"/>
      </w:pPr>
      <w:r>
        <w:rPr>
          <w:rFonts w:ascii="Arial" w:cs="Arial" w:eastAsia="Arial" w:hAnsi="Arial"/>
          <w:color w:val="555555"/>
          <w:sz w:val="20"/>
          <w:szCs w:val="20"/>
        </w:rPr>
        <w:t xml:space="preserve">Nombre: </w:t>
      </w:r>
      <w:r>
        <w:rPr>
          <w:rFonts w:ascii="Arial" w:cs="Arial" w:eastAsia="Arial" w:hAnsi="Arial"/>
          <w:b/>
          <w:bCs/>
          <w:color w:val="C0392B"/>
          <w:sz w:val="22"/>
          <w:szCs w:val="22"/>
          <w:u w:val="single"/>
        </w:rPr>
        <w:t xml:space="preserve"> [NOMBRE COMPLETO] </w:t>
      </w:r>
    </w:p>
    <w:p>
      <w:pPr>
        <w:spacing w:after="40"/>
        <w:jc w:val="center"/>
      </w:pPr>
      <w:r>
        <w:rPr>
          <w:rFonts w:ascii="Arial" w:cs="Arial" w:eastAsia="Arial" w:hAnsi="Arial"/>
          <w:color w:val="555555"/>
          <w:sz w:val="20"/>
          <w:szCs w:val="20"/>
        </w:rPr>
        <w:t xml:space="preserve">C.C. / NIT: </w:t>
      </w:r>
      <w:r>
        <w:rPr>
          <w:rFonts w:ascii="Arial" w:cs="Arial" w:eastAsia="Arial" w:hAnsi="Arial"/>
          <w:b/>
          <w:bCs/>
          <w:color w:val="C0392B"/>
          <w:sz w:val="22"/>
          <w:szCs w:val="22"/>
          <w:u w:val="single"/>
        </w:rPr>
        <w:t xml:space="preserve"> [NÚMERO DE DOCUMENTO] </w:t>
      </w:r>
    </w:p>
    <w:p>
      <w:pPr>
        <w:spacing w:after="40"/>
        <w:jc w:val="center"/>
      </w:pPr>
      <w:r>
        <w:rPr>
          <w:rFonts w:ascii="Arial" w:cs="Arial" w:eastAsia="Arial" w:hAnsi="Arial"/>
          <w:color w:val="555555"/>
          <w:sz w:val="20"/>
          <w:szCs w:val="20"/>
        </w:rPr>
        <w:t xml:space="preserve">Acciones suscritas: </w:t>
      </w:r>
      <w:r>
        <w:rPr>
          <w:rFonts w:ascii="Arial" w:cs="Arial" w:eastAsia="Arial" w:hAnsi="Arial"/>
          <w:b/>
          <w:bCs/>
          <w:color w:val="C0392B"/>
          <w:sz w:val="22"/>
          <w:szCs w:val="22"/>
          <w:u w:val="single"/>
        </w:rPr>
        <w:t xml:space="preserve"> [NÚMERO DE ACCIONES] </w:t>
      </w:r>
    </w:p>
    <w:p>
      <w:pPr>
        <w:spacing w:after="200"/>
        <w:jc w:val="center"/>
      </w:pPr>
      <w:r>
        <w:rPr>
          <w:rFonts w:ascii="Arial" w:cs="Arial" w:eastAsia="Arial" w:hAnsi="Arial"/>
          <w:color w:val="555555"/>
          <w:sz w:val="20"/>
          <w:szCs w:val="20"/>
        </w:rPr>
        <w:t xml:space="preserve">Firma: ______________________________</w:t>
      </w:r>
    </w:p>
    <w:p>
      <w:pPr>
        <w:pBdr>
          <w:bottom w:val="single" w:color="CCCCCC" w:sz="2" w:space="1"/>
        </w:pBdr>
        <w:spacing w:after="120" w:before="120"/>
      </w:pPr>
      <w:r>
        <w:t xml:space="preserve"/>
      </w:r>
    </w:p>
    <w:p>
      <w:pPr>
        <w:spacing w:after="40"/>
        <w:jc w:val="center"/>
      </w:pPr>
      <w:r>
        <w:rPr>
          <w:rFonts w:ascii="Arial" w:cs="Arial" w:eastAsia="Arial" w:hAnsi="Arial"/>
          <w:b/>
          <w:bCs/>
          <w:color w:val="1B3A6B"/>
          <w:sz w:val="22"/>
          <w:szCs w:val="22"/>
        </w:rPr>
        <w:t xml:space="preserve">ACCIONISTA FUNDADOR N.° 2</w:t>
      </w:r>
    </w:p>
    <w:p>
      <w:pPr>
        <w:spacing w:after="40"/>
        <w:jc w:val="center"/>
      </w:pPr>
      <w:r>
        <w:rPr>
          <w:rFonts w:ascii="Arial" w:cs="Arial" w:eastAsia="Arial" w:hAnsi="Arial"/>
          <w:color w:val="555555"/>
          <w:sz w:val="20"/>
          <w:szCs w:val="20"/>
        </w:rPr>
        <w:t xml:space="preserve">Nombre: </w:t>
      </w:r>
      <w:r>
        <w:rPr>
          <w:rFonts w:ascii="Arial" w:cs="Arial" w:eastAsia="Arial" w:hAnsi="Arial"/>
          <w:b/>
          <w:bCs/>
          <w:color w:val="C0392B"/>
          <w:sz w:val="22"/>
          <w:szCs w:val="22"/>
          <w:u w:val="single"/>
        </w:rPr>
        <w:t xml:space="preserve"> [NOMBRE COMPLETO] </w:t>
      </w:r>
    </w:p>
    <w:p>
      <w:pPr>
        <w:spacing w:after="40"/>
        <w:jc w:val="center"/>
      </w:pPr>
      <w:r>
        <w:rPr>
          <w:rFonts w:ascii="Arial" w:cs="Arial" w:eastAsia="Arial" w:hAnsi="Arial"/>
          <w:color w:val="555555"/>
          <w:sz w:val="20"/>
          <w:szCs w:val="20"/>
        </w:rPr>
        <w:t xml:space="preserve">C.C. / NIT: </w:t>
      </w:r>
      <w:r>
        <w:rPr>
          <w:rFonts w:ascii="Arial" w:cs="Arial" w:eastAsia="Arial" w:hAnsi="Arial"/>
          <w:b/>
          <w:bCs/>
          <w:color w:val="C0392B"/>
          <w:sz w:val="22"/>
          <w:szCs w:val="22"/>
          <w:u w:val="single"/>
        </w:rPr>
        <w:t xml:space="preserve"> [NÚMERO DE DOCUMENTO] </w:t>
      </w:r>
    </w:p>
    <w:p>
      <w:pPr>
        <w:spacing w:after="40"/>
        <w:jc w:val="center"/>
      </w:pPr>
      <w:r>
        <w:rPr>
          <w:rFonts w:ascii="Arial" w:cs="Arial" w:eastAsia="Arial" w:hAnsi="Arial"/>
          <w:color w:val="555555"/>
          <w:sz w:val="20"/>
          <w:szCs w:val="20"/>
        </w:rPr>
        <w:t xml:space="preserve">Acciones suscritas: </w:t>
      </w:r>
      <w:r>
        <w:rPr>
          <w:rFonts w:ascii="Arial" w:cs="Arial" w:eastAsia="Arial" w:hAnsi="Arial"/>
          <w:b/>
          <w:bCs/>
          <w:color w:val="C0392B"/>
          <w:sz w:val="22"/>
          <w:szCs w:val="22"/>
          <w:u w:val="single"/>
        </w:rPr>
        <w:t xml:space="preserve"> [NÚMERO DE ACCIONES] </w:t>
      </w:r>
    </w:p>
    <w:p>
      <w:pPr>
        <w:spacing w:after="200"/>
        <w:jc w:val="center"/>
      </w:pPr>
      <w:r>
        <w:rPr>
          <w:rFonts w:ascii="Arial" w:cs="Arial" w:eastAsia="Arial" w:hAnsi="Arial"/>
          <w:color w:val="555555"/>
          <w:sz w:val="20"/>
          <w:szCs w:val="20"/>
        </w:rPr>
        <w:t xml:space="preserve">Firma: ______________________________</w:t>
      </w:r>
    </w:p>
    <w:p>
      <w:pPr>
        <w:pBdr>
          <w:bottom w:val="single" w:color="CCCCCC" w:sz="2" w:space="1"/>
        </w:pBdr>
        <w:spacing w:after="120" w:before="120"/>
      </w:pPr>
      <w:r>
        <w:t xml:space="preserve"/>
      </w:r>
    </w:p>
    <w:p>
      <w:pPr>
        <w:spacing w:after="80"/>
      </w:pPr>
      <w:r>
        <w:t xml:space="preserve"/>
      </w:r>
    </w:p>
    <w:p>
      <w:pPr>
        <w:spacing w:after="80"/>
        <w:jc w:val="center"/>
      </w:pPr>
      <w:r>
        <w:rPr>
          <w:rFonts w:ascii="Arial" w:cs="Arial" w:eastAsia="Arial" w:hAnsi="Arial"/>
          <w:b/>
          <w:bCs/>
          <w:color w:val="1B3A6B"/>
          <w:sz w:val="22"/>
          <w:szCs w:val="22"/>
        </w:rPr>
        <w:t xml:space="preserve">* * * FIN DEL DOCUMENTO * * *</w:t>
      </w:r>
    </w:p>
    <w:p>
      <w:pPr>
        <w:spacing w:after="80"/>
        <w:jc w:val="center"/>
      </w:pPr>
      <w:r>
        <w:rPr>
          <w:rFonts w:ascii="Arial" w:cs="Arial" w:eastAsia="Arial" w:hAnsi="Arial"/>
          <w:i/>
          <w:iCs/>
          <w:color w:val="555555"/>
          <w:sz w:val="18"/>
          <w:szCs w:val="18"/>
        </w:rPr>
        <w:t xml:space="preserve">Este borrador tiene carácter informativo y no constituye asesoría legal.</w:t>
      </w:r>
    </w:p>
    <w:p>
      <w:pPr>
        <w:spacing w:after="80"/>
        <w:jc w:val="center"/>
      </w:pPr>
      <w:r>
        <w:rPr>
          <w:rFonts w:ascii="Arial" w:cs="Arial" w:eastAsia="Arial" w:hAnsi="Arial"/>
          <w:i/>
          <w:iCs/>
          <w:color w:val="555555"/>
          <w:sz w:val="18"/>
          <w:szCs w:val="18"/>
        </w:rPr>
        <w:t xml:space="preserve">Se recomienda la revisión por un abogado especializado antes de su firma y registro.</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2"/>
      </w:pBdr>
      <w:tabs>
        <w:tab w:val="right" w:pos="9026"/>
      </w:tabs>
      <w:spacing w:before="80"/>
    </w:pPr>
    <w:r>
      <w:rPr>
        <w:rFonts w:ascii="Arial" w:cs="Arial" w:eastAsia="Arial" w:hAnsi="Arial"/>
        <w:color w:val="555555"/>
        <w:sz w:val="16"/>
        <w:szCs w:val="16"/>
      </w:rPr>
      <w:t xml:space="preserve">Documento Confidencial – Borrador Preliminar</w:t>
    </w:r>
    <w:r>
      <w:rPr>
        <w:rFonts w:ascii="Arial" w:cs="Arial" w:eastAsia="Arial" w:hAnsi="Arial"/>
        <w:color w:val="555555"/>
        <w:sz w:val="16"/>
        <w:szCs w:val="16"/>
      </w:rPr>
      <w:t xml:space="preserve">	Página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de </w:t>
    </w:r>
    <w:r>
      <w:rPr>
        <w:rFonts w:ascii="Arial" w:cs="Arial" w:eastAsia="Arial" w:hAnsi="Arial"/>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2"/>
      </w:pBdr>
      <w:spacing w:after="80"/>
      <w:jc w:val="right"/>
    </w:pPr>
    <w:r>
      <w:rPr>
        <w:rFonts w:ascii="Arial" w:cs="Arial" w:eastAsia="Arial" w:hAnsi="Arial"/>
        <w:color w:val="555555"/>
        <w:sz w:val="18"/>
        <w:szCs w:val="18"/>
      </w:rPr>
      <w:t xml:space="preserve">ESTATUTOS SOCIALES – </w:t>
    </w:r>
    <w:r>
      <w:rPr>
        <w:rFonts w:ascii="Arial" w:cs="Arial" w:eastAsia="Arial" w:hAnsi="Arial"/>
        <w:b/>
        <w:bCs/>
        <w:color w:val="1B3A6B"/>
        <w:sz w:val="18"/>
        <w:szCs w:val="18"/>
      </w:rPr>
      <w:t xml:space="preserve">[RAZÓN SOCIAL S.A.S.]</w:t>
    </w:r>
    <w:r>
      <w:rPr>
        <w:rFonts w:ascii="Arial" w:cs="Arial" w:eastAsia="Arial" w:hAnsi="Arial"/>
        <w:color w:val="555555"/>
        <w:sz w:val="18"/>
        <w:szCs w:val="18"/>
      </w:rPr>
      <w:t xml:space="preserve">  |  Colombia, </w:t>
    </w:r>
    <w:r>
      <w:rPr>
        <w:rFonts w:ascii="Arial" w:cs="Arial" w:eastAsia="Arial" w:hAnsi="Arial"/>
        <w:b/>
        <w:bCs/>
        <w:color w:val="555555"/>
        <w:sz w:val="18"/>
        <w:szCs w:val="18"/>
      </w:rPr>
      <w:t xml:space="preserve">[AÑO]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555555"/>
      </w:rPr>
    </w:lvl>
    <w:lvl w:ilvl="1" w15:tentative="1">
      <w:start w:val="1"/>
      <w:numFmt w:val="bullet"/>
      <w:lvlText w:val="–"/>
      <w:lvlJc w:val="left"/>
      <w:pPr>
        <w:ind w:left="1080" w:hanging="360"/>
      </w:pPr>
      <w:rPr>
        <w:rFonts w:ascii="Arial" w:cs="Arial" w:eastAsia="Arial" w:hAnsi="Arial"/>
        <w:color w:val="55555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3A6B" w:sz="6" w:space="1"/>
      </w:pBdr>
      <w:spacing w:after="160" w:before="360"/>
      <w:outlineLvl w:val="0"/>
    </w:pPr>
    <w:rPr>
      <w:rFonts w:ascii="Arial" w:cs="Arial" w:eastAsia="Arial" w:hAnsi="Arial"/>
      <w:b/>
      <w:bCs/>
      <w:color w:val="1B3A6B"/>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2E5FA3"/>
      <w:sz w:val="24"/>
      <w:szCs w:val="24"/>
    </w:rPr>
  </w:style>
  <w:style w:type="paragraph" w:styleId="Heading3">
    <w:name w:val="Heading 3"/>
    <w:basedOn w:val="Normal"/>
    <w:next w:val="Normal"/>
    <w:qFormat/>
    <w:pPr>
      <w:spacing w:after="80" w:before="20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2026-05-07T14:28:25.978Z</dcterms:created>
  <dcterms:modified xsi:type="dcterms:W3CDTF">2026-05-07T14:28:25.979Z</dcterms:modified>
</cp:coreProperties>
</file>

<file path=docProps/custom.xml><?xml version="1.0" encoding="utf-8"?>
<Properties xmlns="http://schemas.openxmlformats.org/officeDocument/2006/custom-properties" xmlns:vt="http://schemas.openxmlformats.org/officeDocument/2006/docPropsVTypes"/>
</file>