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TÉCNICA</w:t>
      </w:r>
    </w:p>
    <w:p>
      <w:pPr>
        <w:pStyle w:val="Subtitle"/>
      </w:pPr>
      <w:r>
        <w:t>NEUROATLAS  ·  arquitetura, contratos e gates  ·  v0.3</w:t>
      </w:r>
    </w:p>
    <w:p>
      <w:pPr>
        <w:pStyle w:val="Heading1"/>
      </w:pPr>
      <w:r>
        <w:t>1. Arquitetura-alvo e decisão</w:t>
      </w:r>
    </w:p>
    <w:p>
      <w:r>
        <w:t>Frontend React/TypeScript + Three.js/R3F + Drei; Vite como opção, deploy opcional Cloudflare Pages para SPA estática. Não usar model-viewer como renderizador principal quando camadas por nó, transformações individuais, picking e cortes cap são requisitos. Não há backend obrigatório para visualização local.</w:t>
      </w:r>
    </w:p>
    <w:p>
      <w:r>
        <w:t>Isolar AssetLoader (URL, bytes, hash, fallback, decoder Draco), StructureRegistry (ID estável → objeto real), LayerStore, SelectionController, CameraRig, Timeline/Easing, ExplodeController, LabelOverlay e ValidationPanel. O renderer jamais deve definir dados anatômicos ou IDs novos em componentes.</w:t>
      </w:r>
    </w:p>
    <w:p>
      <w:pPr>
        <w:pStyle w:val="Heading1"/>
      </w:pPr>
      <w:r>
        <w:t>2. Modelo, procedência e extração</w:t>
      </w:r>
    </w:p>
    <w:p>
      <w:r>
        <w:t>Priorizar cena única derivada do Z-Anatomy. Auditar subasset por licença; remover fontes incompatíveis. Exportar ao menos pele/cabeça, crânio e encéfalo com referência comum, preservar coordenadas globais e matrizes. Original guardado imutável; otimizações em variantes `*_mobile.glb` com SHA256 e log de alterações. ZAnatomy original e GLB MDL-002 ainda não foram baixados neste pacote.</w:t>
      </w:r>
    </w:p>
    <w:p>
      <w:r>
        <w:t>O `brainproject` publica `brain.glb` e manifesto com 437 nós declarados e extras bx_id, bx_cat, bx_side. O snapshot atual exporta 33 registros, com `object_name=null` e `verified_object=false`. Valor `node_manifest_name` é metadado externo, não nó confirmado. Não usar ID numérico sem confrontar o arquivo.</w:t>
      </w:r>
    </w:p>
    <w:p>
      <w:pPr>
        <w:pStyle w:val="Heading1"/>
      </w:pPr>
      <w:r>
        <w:t>3. Catálogo e contratos de dados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305"/>
            <w:shd w:fill="1455CC"/>
          </w:tcPr>
          <w:p>
            <w:r>
              <w:t>Artefato</w:t>
            </w:r>
          </w:p>
        </w:tc>
        <w:tc>
          <w:tcPr>
            <w:tcW w:type="dxa" w:w="3305"/>
            <w:shd w:fill="1455CC"/>
          </w:tcPr>
          <w:p>
            <w:r>
              <w:t>Responsabilidade</w:t>
            </w:r>
          </w:p>
        </w:tc>
        <w:tc>
          <w:tcPr>
            <w:tcW w:type="dxa" w:w="3305"/>
            <w:shd w:fill="1455CC"/>
          </w:tcPr>
          <w:p>
            <w:r>
              <w:t>Gate</w:t>
            </w:r>
          </w:p>
        </w:tc>
      </w:tr>
      <w:tr>
        <w:tc>
          <w:tcPr>
            <w:tcW w:type="dxa" w:w="3305"/>
          </w:tcPr>
          <w:p>
            <w:r>
              <w:t>MASTER_SOURCE.json</w:t>
            </w:r>
          </w:p>
        </w:tc>
        <w:tc>
          <w:tcPr>
            <w:tcW w:type="dxa" w:w="3305"/>
          </w:tcPr>
          <w:p>
            <w:r>
              <w:t>Fonte única para exportação XLSX e JSON; IDs NEU/MDL/LYR</w:t>
            </w:r>
          </w:p>
        </w:tc>
        <w:tc>
          <w:tcPr>
            <w:tcW w:type="dxa" w:w="3305"/>
          </w:tcPr>
          <w:p>
            <w:r>
              <w:t>Atualização controlada</w:t>
            </w:r>
          </w:p>
        </w:tc>
      </w:tr>
      <w:tr>
        <w:tc>
          <w:tcPr>
            <w:tcW w:type="dxa" w:w="3305"/>
          </w:tcPr>
          <w:p>
            <w:r>
              <w:t>structures.json</w:t>
            </w:r>
          </w:p>
        </w:tc>
        <w:tc>
          <w:tcPr>
            <w:tcW w:type="dxa" w:w="3305"/>
          </w:tcPr>
          <w:p>
            <w:r>
              <w:t>Relações anatômicas propostas e binding real object_name</w:t>
            </w:r>
          </w:p>
        </w:tc>
        <w:tc>
          <w:tcPr>
            <w:tcW w:type="dxa" w:w="3305"/>
          </w:tcPr>
          <w:p>
            <w:r>
              <w:t>verified_object=true após inspecionar GLB</w:t>
            </w:r>
          </w:p>
        </w:tc>
      </w:tr>
      <w:tr>
        <w:tc>
          <w:tcPr>
            <w:tcW w:type="dxa" w:w="3305"/>
          </w:tcPr>
          <w:p>
            <w:r>
              <w:t>layers.json</w:t>
            </w:r>
          </w:p>
        </w:tc>
        <w:tc>
          <w:tcPr>
            <w:tcW w:type="dxa" w:w="3305"/>
          </w:tcPr>
          <w:p>
            <w:r>
              <w:t>IDs de estruturas e availability</w:t>
            </w:r>
          </w:p>
        </w:tc>
        <w:tc>
          <w:tcPr>
            <w:tcW w:type="dxa" w:w="3305"/>
          </w:tcPr>
          <w:p>
            <w:r>
              <w:t>available=true só com bindings resolvidos</w:t>
            </w:r>
          </w:p>
        </w:tc>
      </w:tr>
      <w:tr>
        <w:tc>
          <w:tcPr>
            <w:tcW w:type="dxa" w:w="3305"/>
          </w:tcPr>
          <w:p>
            <w:r>
              <w:t>materials.json</w:t>
            </w:r>
          </w:p>
        </w:tc>
        <w:tc>
          <w:tcPr>
            <w:tcW w:type="dxa" w:w="3305"/>
          </w:tcPr>
          <w:p>
            <w:r>
              <w:t>Cores/alpha/roughness declarativas</w:t>
            </w:r>
          </w:p>
        </w:tc>
        <w:tc>
          <w:tcPr>
            <w:tcW w:type="dxa" w:w="3305"/>
          </w:tcPr>
          <w:p>
            <w:r>
              <w:t>Verificar fidelidade e texturas</w:t>
            </w:r>
          </w:p>
        </w:tc>
      </w:tr>
      <w:tr>
        <w:tc>
          <w:tcPr>
            <w:tcW w:type="dxa" w:w="3305"/>
          </w:tcPr>
          <w:p>
            <w:r>
              <w:t>cameras.json</w:t>
            </w:r>
          </w:p>
        </w:tc>
        <w:tc>
          <w:tcPr>
            <w:tcW w:type="dxa" w:w="3305"/>
          </w:tcPr>
          <w:p>
            <w:r>
              <w:t>Position/target/limits</w:t>
            </w:r>
          </w:p>
        </w:tc>
        <w:tc>
          <w:tcPr>
            <w:tcW w:type="dxa" w:w="3305"/>
          </w:tcPr>
          <w:p>
            <w:r>
              <w:t>null até inspeção do bounding box</w:t>
            </w:r>
          </w:p>
        </w:tc>
      </w:tr>
      <w:tr>
        <w:tc>
          <w:tcPr>
            <w:tcW w:type="dxa" w:w="3305"/>
          </w:tcPr>
          <w:p>
            <w:r>
              <w:t>animations.json</w:t>
            </w:r>
          </w:p>
        </w:tc>
        <w:tc>
          <w:tcPr>
            <w:tcW w:type="dxa" w:w="3305"/>
          </w:tcPr>
          <w:p>
            <w:r>
              <w:t>Cronograma e offsets de separação</w:t>
            </w:r>
          </w:p>
        </w:tc>
        <w:tc>
          <w:tcPr>
            <w:tcW w:type="dxa" w:w="3305"/>
          </w:tcPr>
          <w:p>
            <w:r>
              <w:t>ready=true somente com transform válido</w:t>
            </w:r>
          </w:p>
        </w:tc>
      </w:tr>
      <w:tr>
        <w:tc>
          <w:tcPr>
            <w:tcW w:type="dxa" w:w="3305"/>
          </w:tcPr>
          <w:p>
            <w:r>
              <w:t>labels.json</w:t>
            </w:r>
          </w:p>
        </w:tc>
        <w:tc>
          <w:tcPr>
            <w:tcW w:type="dxa" w:w="3305"/>
          </w:tcPr>
          <w:p>
            <w:r>
              <w:t>Texto e ponto 3D de ancoragem</w:t>
            </w:r>
          </w:p>
        </w:tc>
        <w:tc>
          <w:tcPr>
            <w:tcW w:type="dxa" w:w="3305"/>
          </w:tcPr>
          <w:p>
            <w:r>
              <w:t>anchor null até seleção/visibilidade</w:t>
            </w:r>
          </w:p>
        </w:tc>
      </w:tr>
      <w:tr>
        <w:tc>
          <w:tcPr>
            <w:tcW w:type="dxa" w:w="3305"/>
          </w:tcPr>
          <w:p>
            <w:r>
              <w:t>presets.json</w:t>
            </w:r>
          </w:p>
        </w:tc>
        <w:tc>
          <w:tcPr>
            <w:tcW w:type="dxa" w:w="3305"/>
          </w:tcPr>
          <w:p>
            <w:r>
              <w:t>Valores iniciais da UX por modo</w:t>
            </w:r>
          </w:p>
        </w:tc>
        <w:tc>
          <w:tcPr>
            <w:tcW w:type="dxa" w:w="3305"/>
          </w:tcPr>
          <w:p>
            <w:r>
              <w:t>ready=true após gates</w:t>
            </w:r>
          </w:p>
        </w:tc>
      </w:tr>
      <w:tr>
        <w:tc>
          <w:tcPr>
            <w:tcW w:type="dxa" w:w="3305"/>
          </w:tcPr>
          <w:p>
            <w:r>
              <w:t>controls.json</w:t>
            </w:r>
          </w:p>
        </w:tc>
        <w:tc>
          <w:tcPr>
            <w:tcW w:type="dxa" w:w="3305"/>
          </w:tcPr>
          <w:p>
            <w:r>
              <w:t>Contrato de controles e estados disabled</w:t>
            </w:r>
          </w:p>
        </w:tc>
        <w:tc>
          <w:tcPr>
            <w:tcW w:type="dxa" w:w="3305"/>
          </w:tcPr>
          <w:p>
            <w:r>
              <w:t>Nenhum controle fictício</w:t>
            </w:r>
          </w:p>
        </w:tc>
      </w:tr>
    </w:tbl>
    <w:p/>
    <w:p>
      <w:pPr>
        <w:pStyle w:val="Heading1"/>
      </w:pPr>
      <w:r>
        <w:t>4. Fluxo de carregamento e resolução de IDs</w:t>
      </w:r>
    </w:p>
    <w:p>
      <w:r>
        <w:t>A) conferir existência e licenças do asset; B) decodificar GLB via GLTFLoader e DRACOLoader quando necessário; C) percorrer scene.traverse para Object3D; D) coletar uuid, node.name, userData.bx_id, mesh bounds/transform global; E) cruzar external_id ↔ bx_id ou outra chave verificada; F) gerar diff com estruturas sem match, duplicatas e laterality; G) habilitar controls de acordo com o resultado. Sem match: não deduzir pela semelhança de string.</w:t>
      </w:r>
    </w:p>
    <w:p>
      <w:pPr>
        <w:pStyle w:val="Heading1"/>
      </w:pPr>
      <w:r>
        <w:t>5. Coordenadas, enquadramento e precisão</w:t>
      </w:r>
    </w:p>
    <w:p>
      <w:r>
        <w:t>Unidade, handedness, eixo up, escala, pivôs, bounds, matriz global e lateralidade devem vir do arquivo. Converter matrizes apenas com transformação conhecida, preservando o original. Calcular câmeras a partir de esfera envolvente/Box3 e relação de aspecto após carregar; gravar posição real em cameras.json depois de aprovação. Evitar constantes inventadas no catálogo.</w:t>
      </w:r>
    </w:p>
    <w:p>
      <w:pPr>
        <w:pStyle w:val="Heading1"/>
      </w:pPr>
      <w:r>
        <w:t>6. Corte, seleção, rótulos e transparência</w:t>
      </w:r>
    </w:p>
    <w:p>
      <w:r>
        <w:t>Usar Raycaster com mapeamento de ascendência do mesh para `NEU-ID`. Camadas invisíveis fora de targets de picking. Para corte: stencil/capping condicionado a malhas fechadas com winding correto; alternativa segura é corte pré-calculado com superfície anatômica. Não alegar precisão do interior produzido somente por plano de clipping. Rótulos HTML em projeção de âncoras reais; de-occlusion, anticolisão e esconder estrutura encoberta; versões textuais.</w:t>
      </w:r>
    </w:p>
    <w:p>
      <w:pPr>
        <w:pStyle w:val="Heading1"/>
      </w:pPr>
      <w:r>
        <w:t>7. Máquina de estados de animação</w:t>
      </w:r>
    </w:p>
    <w:p>
      <w:r>
        <w:t>Definir `poseAt(t)` pura baseada em `baseMatrix` imutável e `offsetMatrix` revisada: fases 0–2 separado; 2–4 interpolação até montado; 4–5 hold; 5–7 montagem reversa; 7–8 hold separado. 0 e 8 coincidem, sem drift. Sempre calcular por absolute time, nunca frame a frame. Interrupção manual pausa timeline antes de ler slider. Loop somente se ANIM-8S.ready=true.</w:t>
      </w:r>
    </w:p>
    <w:p>
      <w:pPr>
        <w:pStyle w:val="Heading1"/>
      </w:pPr>
      <w:r>
        <w:t>8. Performance / alvos propostos, ainda não medidos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305"/>
            <w:shd w:fill="1455CC"/>
          </w:tcPr>
          <w:p>
            <w:r>
              <w:t>Indicador</w:t>
            </w:r>
          </w:p>
        </w:tc>
        <w:tc>
          <w:tcPr>
            <w:tcW w:type="dxa" w:w="3305"/>
            <w:shd w:fill="1455CC"/>
          </w:tcPr>
          <w:p>
            <w:r>
              <w:t>Meta de projeto (não evidência)</w:t>
            </w:r>
          </w:p>
        </w:tc>
        <w:tc>
          <w:tcPr>
            <w:tcW w:type="dxa" w:w="3305"/>
            <w:shd w:fill="1455CC"/>
          </w:tcPr>
          <w:p>
            <w:r>
              <w:t>Instrumentação</w:t>
            </w:r>
          </w:p>
        </w:tc>
      </w:tr>
      <w:tr>
        <w:tc>
          <w:tcPr>
            <w:tcW w:type="dxa" w:w="3305"/>
          </w:tcPr>
          <w:p>
            <w:r>
              <w:t>FPS</w:t>
            </w:r>
          </w:p>
        </w:tc>
        <w:tc>
          <w:tcPr>
            <w:tcW w:type="dxa" w:w="3305"/>
          </w:tcPr>
          <w:p>
            <w:r>
              <w:t>Desktop ≥ 60 médio; mobile ≥ 30 médio</w:t>
            </w:r>
          </w:p>
        </w:tc>
        <w:tc>
          <w:tcPr>
            <w:tcW w:type="dxa" w:w="3305"/>
          </w:tcPr>
          <w:p>
            <w:r>
              <w:t>Chrome performance e contador frame, aparelho fixo</w:t>
            </w:r>
          </w:p>
        </w:tc>
      </w:tr>
      <w:tr>
        <w:tc>
          <w:tcPr>
            <w:tcW w:type="dxa" w:w="3305"/>
          </w:tcPr>
          <w:p>
            <w:r>
              <w:t>Massa inicial</w:t>
            </w:r>
          </w:p>
        </w:tc>
        <w:tc>
          <w:tcPr>
            <w:tcW w:type="dxa" w:w="3305"/>
          </w:tcPr>
          <w:p>
            <w:r>
              <w:t>Objetivo inicial ≤ 15 MB transferidos em mobile</w:t>
            </w:r>
          </w:p>
        </w:tc>
        <w:tc>
          <w:tcPr>
            <w:tcW w:type="dxa" w:w="3305"/>
          </w:tcPr>
          <w:p>
            <w:r>
              <w:t>Network bytes + cache clean; revisar conforme ativos</w:t>
            </w:r>
          </w:p>
        </w:tc>
      </w:tr>
      <w:tr>
        <w:tc>
          <w:tcPr>
            <w:tcW w:type="dxa" w:w="3305"/>
          </w:tcPr>
          <w:p>
            <w:r>
              <w:t>Tempo para 1ª imagem</w:t>
            </w:r>
          </w:p>
        </w:tc>
        <w:tc>
          <w:tcPr>
            <w:tcW w:type="dxa" w:w="3305"/>
          </w:tcPr>
          <w:p>
            <w:r>
              <w:t>Objetivo ≤ 3 s em conexão perfilada, sujeito a medição</w:t>
            </w:r>
          </w:p>
        </w:tc>
        <w:tc>
          <w:tcPr>
            <w:tcW w:type="dxa" w:w="3305"/>
          </w:tcPr>
          <w:p>
            <w:r>
              <w:t>LCP/first meaningful model render</w:t>
            </w:r>
          </w:p>
        </w:tc>
      </w:tr>
      <w:tr>
        <w:tc>
          <w:tcPr>
            <w:tcW w:type="dxa" w:w="3305"/>
          </w:tcPr>
          <w:p>
            <w:r>
              <w:t>Draw calls</w:t>
            </w:r>
          </w:p>
        </w:tc>
        <w:tc>
          <w:tcPr>
            <w:tcW w:type="dxa" w:w="3305"/>
          </w:tcPr>
          <w:p>
            <w:r>
              <w:t>Meta investigativa ≤ 300 visíveis</w:t>
            </w:r>
          </w:p>
        </w:tc>
        <w:tc>
          <w:tcPr>
            <w:tcW w:type="dxa" w:w="3305"/>
          </w:tcPr>
          <w:p>
            <w:r>
              <w:t>renderer.info.render.calls</w:t>
            </w:r>
          </w:p>
        </w:tc>
      </w:tr>
      <w:tr>
        <w:tc>
          <w:tcPr>
            <w:tcW w:type="dxa" w:w="3305"/>
          </w:tcPr>
          <w:p>
            <w:r>
              <w:t>Texturas</w:t>
            </w:r>
          </w:p>
        </w:tc>
        <w:tc>
          <w:tcPr>
            <w:tcW w:type="dxa" w:w="3305"/>
          </w:tcPr>
          <w:p>
            <w:r>
              <w:t>Compressão conforme suporte; mipmapping</w:t>
            </w:r>
          </w:p>
        </w:tc>
        <w:tc>
          <w:tcPr>
            <w:tcW w:type="dxa" w:w="3305"/>
          </w:tcPr>
          <w:p>
            <w:r>
              <w:t>DevTools memoria/VRAM estimada, visual QA</w:t>
            </w:r>
          </w:p>
        </w:tc>
      </w:tr>
      <w:tr>
        <w:tc>
          <w:tcPr>
            <w:tcW w:type="dxa" w:w="3305"/>
          </w:tcPr>
          <w:p>
            <w:r>
              <w:t>LOD</w:t>
            </w:r>
          </w:p>
        </w:tc>
        <w:tc>
          <w:tcPr>
            <w:tcW w:type="dxa" w:w="3305"/>
          </w:tcPr>
          <w:p>
            <w:r>
              <w:t>Pelo menos variante mobile após inspecionar original</w:t>
            </w:r>
          </w:p>
        </w:tc>
        <w:tc>
          <w:tcPr>
            <w:tcW w:type="dxa" w:w="3305"/>
          </w:tcPr>
          <w:p>
            <w:r>
              <w:t>Compare geométrica e hashes</w:t>
            </w:r>
          </w:p>
        </w:tc>
      </w:tr>
    </w:tbl>
    <w:p/>
    <w:p>
      <w:pPr>
        <w:pStyle w:val="Heading1"/>
      </w:pPr>
      <w:r>
        <w:t>9. Deploy e compatibilidade</w:t>
      </w:r>
    </w:p>
    <w:p>
      <w:r>
        <w:t>Build estático com split por modo, glb servido com content-type model/gltf-binary, cache versionado por hash, CORS conforme origem, loading progressivo e posterior estático. Deploy Cloudflare Pages é opção arquitetural; nenhum deploy ou build da aplicação foi executado nesta entrega. Não assumir limite/quotas sem verificar no momento da implantação.</w:t>
      </w:r>
    </w:p>
    <w:p>
      <w:pPr>
        <w:pStyle w:val="Heading1"/>
      </w:pPr>
      <w:r>
        <w:t>10. Protocolo de QA, testes e rastreabilidade</w:t>
      </w:r>
    </w:p>
    <w:p>
      <w:r>
        <w:t>Validação JSON schema; função de integridade cross-references; check de licença; hashes SHA256; screenshot 1440/1024/390px; picking e oclusão; seek e reset; reduced motion; WebGL fallback; medição documentada. Evidências no `VALIDACAO_TECNICA.md` com status PENDENTE/BLOQUEADO até teste físico.</w:t>
      </w:r>
    </w:p>
    <w:p>
      <w:pPr>
        <w:pStyle w:val="Heading1"/>
      </w:pPr>
      <w:r>
        <w:t>11. Resolução de bloqueios</w:t>
      </w:r>
    </w:p>
    <w:p>
      <w:r>
        <w:t>Prioridade 1: obter modelos. Prioridade 2: inventariar objetos reais. Prioridade 3: revisão licença por subasset. Prioridade 4: revisão anatômica dos nomes e pivôs. Prioridade 5: geração das coordenadas e transformação explodida. Prioridade 6: integração dos controles e exportação opcional de vídeo. Seguir com shell funcional e avisos claros enquanto faltarem materiais.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62" w:bottom="850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Especificação técnica / v0.3  ·  2026-10-16  ·  PESQUISA / CONSTRUÇÃO CONDICIONAL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455CC"/>
      </w:rPr>
      <w:t>EXECUTAR     /     NEUROATLAS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12A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5C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455C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