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NEUROATLAS</w:t>
      </w:r>
    </w:p>
    <w:p>
      <w:pPr>
        <w:pStyle w:val="Subtitle"/>
      </w:pPr>
      <w:r>
        <w:t>Product Requirements Document  ·  EXECUTAR  ·  v0.3</w:t>
      </w:r>
    </w:p>
    <w:p>
      <w:r>
        <w:t>Objetivo: experiência web editorial de exploração de cabeça e neuroanatomia humana em 3D, com camadas, seleção de estruturas, modos guiados e acessibilidade. O vídeo de oito segundos é saída opcional secundária. Este PRD diferencia ambição do produto e capacidade comprovada dos ativos.</w:t>
      </w:r>
    </w:p>
    <w:p>
      <w:pPr>
        <w:pStyle w:val="Heading1"/>
      </w:pPr>
      <w:r>
        <w:t>1. Visão, público e princípios</w:t>
      </w:r>
    </w:p>
    <w:p>
      <w:r>
        <w:t>Públicos: estudantes de anatomia e neurociências, educadores e visitantes interessados. Produto didático, não diagnóstico nem referência clínica para decisões sobre pacientes. Valor: investigação autônoma sem carga visual excessiva, vocabulário verificável e feedback explícito de modos disponíveis.</w:t>
      </w:r>
    </w:p>
    <w:p>
      <w:r>
        <w:t>Princípios: precisão antes do espetáculo; estados explícitos; um atlas geométrico co-registrado; acessibilidade desde o início; controles efetivos e não decorativos; origem licenciada por estrutura.</w:t>
      </w:r>
    </w:p>
    <w:p>
      <w:pPr>
        <w:pStyle w:val="Heading1"/>
      </w:pPr>
      <w:r>
        <w:t>2. Escopo por fase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3305"/>
            <w:shd w:fill="1455CC"/>
          </w:tcPr>
          <w:p>
            <w:r>
              <w:t>Fase</w:t>
            </w:r>
          </w:p>
        </w:tc>
        <w:tc>
          <w:tcPr>
            <w:tcW w:type="dxa" w:w="3305"/>
            <w:shd w:fill="1455CC"/>
          </w:tcPr>
          <w:p>
            <w:r>
              <w:t>Inclui</w:t>
            </w:r>
          </w:p>
        </w:tc>
        <w:tc>
          <w:tcPr>
            <w:tcW w:type="dxa" w:w="3305"/>
            <w:shd w:fill="1455CC"/>
          </w:tcPr>
          <w:p>
            <w:r>
              <w:t>Depende de</w:t>
            </w:r>
          </w:p>
        </w:tc>
      </w:tr>
      <w:tr>
        <w:tc>
          <w:tcPr>
            <w:tcW w:type="dxa" w:w="3305"/>
          </w:tcPr>
          <w:p>
            <w:r>
              <w:t>P0 — pesquisa</w:t>
            </w:r>
          </w:p>
        </w:tc>
        <w:tc>
          <w:tcPr>
            <w:tcW w:type="dxa" w:w="3305"/>
          </w:tcPr>
          <w:p>
            <w:r>
              <w:t>Fontes, licenças, catálogo inicial, UX, schemas, critérios</w:t>
            </w:r>
          </w:p>
        </w:tc>
        <w:tc>
          <w:tcPr>
            <w:tcW w:type="dxa" w:w="3305"/>
          </w:tcPr>
          <w:p>
            <w:r>
              <w:t>Completa neste pacote como especificação</w:t>
            </w:r>
          </w:p>
        </w:tc>
      </w:tr>
      <w:tr>
        <w:tc>
          <w:tcPr>
            <w:tcW w:type="dxa" w:w="3305"/>
          </w:tcPr>
          <w:p>
            <w:r>
              <w:t>P1 — núcleo cerebral</w:t>
            </w:r>
          </w:p>
        </w:tc>
        <w:tc>
          <w:tcPr>
            <w:tcW w:type="dxa" w:w="3305"/>
          </w:tcPr>
          <w:p>
            <w:r>
              <w:t>GLB e picking, camadas disponíveis, texto, zoom, rotação</w:t>
            </w:r>
          </w:p>
        </w:tc>
        <w:tc>
          <w:tcPr>
            <w:tcW w:type="dxa" w:w="3305"/>
          </w:tcPr>
          <w:p>
            <w:r>
              <w:t>Inspeção real de MDL-002 e revisão de nós</w:t>
            </w:r>
          </w:p>
        </w:tc>
      </w:tr>
      <w:tr>
        <w:tc>
          <w:tcPr>
            <w:tcW w:type="dxa" w:w="3305"/>
          </w:tcPr>
          <w:p>
            <w:r>
              <w:t>P2 — cabeça integrada</w:t>
            </w:r>
          </w:p>
        </w:tc>
        <w:tc>
          <w:tcPr>
            <w:tcW w:type="dxa" w:w="3305"/>
          </w:tcPr>
          <w:p>
            <w:r>
              <w:t>Pele, crânio, encéfalo, corte fechado, explodido</w:t>
            </w:r>
          </w:p>
        </w:tc>
        <w:tc>
          <w:tcPr>
            <w:tcW w:type="dxa" w:w="3305"/>
          </w:tcPr>
          <w:p>
            <w:r>
              <w:t>Extração de MDL-001 / geometria e transforms</w:t>
            </w:r>
          </w:p>
        </w:tc>
      </w:tr>
      <w:tr>
        <w:tc>
          <w:tcPr>
            <w:tcW w:type="dxa" w:w="3305"/>
          </w:tcPr>
          <w:p>
            <w:r>
              <w:t>P3 — vídeo 8s</w:t>
            </w:r>
          </w:p>
        </w:tc>
        <w:tc>
          <w:tcPr>
            <w:tcW w:type="dxa" w:w="3305"/>
          </w:tcPr>
          <w:p>
            <w:r>
              <w:t>Loop sincronizado e exportação opcional</w:t>
            </w:r>
          </w:p>
        </w:tc>
        <w:tc>
          <w:tcPr>
            <w:tcW w:type="dxa" w:w="3305"/>
          </w:tcPr>
          <w:p>
            <w:r>
              <w:t>P2, compatibilidade do ambiente com exportação</w:t>
            </w:r>
          </w:p>
        </w:tc>
      </w:tr>
    </w:tbl>
    <w:p/>
    <w:p>
      <w:pPr>
        <w:pStyle w:val="Heading1"/>
      </w:pPr>
      <w:r>
        <w:t>3. Modos de exploração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3305"/>
            <w:shd w:fill="1455CC"/>
          </w:tcPr>
          <w:p>
            <w:r>
              <w:t>Modo</w:t>
            </w:r>
          </w:p>
        </w:tc>
        <w:tc>
          <w:tcPr>
            <w:tcW w:type="dxa" w:w="3305"/>
            <w:shd w:fill="1455CC"/>
          </w:tcPr>
          <w:p>
            <w:r>
              <w:t>Resultado esperado</w:t>
            </w:r>
          </w:p>
        </w:tc>
        <w:tc>
          <w:tcPr>
            <w:tcW w:type="dxa" w:w="3305"/>
            <w:shd w:fill="1455CC"/>
          </w:tcPr>
          <w:p>
            <w:r>
              <w:t>Estado atual</w:t>
            </w:r>
          </w:p>
        </w:tc>
      </w:tr>
      <w:tr>
        <w:tc>
          <w:tcPr>
            <w:tcW w:type="dxa" w:w="3305"/>
          </w:tcPr>
          <w:p>
            <w:r>
              <w:t>Cabeça completa</w:t>
            </w:r>
          </w:p>
        </w:tc>
        <w:tc>
          <w:tcPr>
            <w:tcW w:type="dxa" w:w="3305"/>
          </w:tcPr>
          <w:p>
            <w:r>
              <w:t>Girar cabeça externa com visualização da pele</w:t>
            </w:r>
          </w:p>
        </w:tc>
        <w:tc>
          <w:tcPr>
            <w:tcW w:type="dxa" w:w="3305"/>
          </w:tcPr>
          <w:p>
            <w:r>
              <w:t>BLOQUEADO: malha externa indisponível</w:t>
            </w:r>
          </w:p>
        </w:tc>
      </w:tr>
      <w:tr>
        <w:tc>
          <w:tcPr>
            <w:tcW w:type="dxa" w:w="3305"/>
          </w:tcPr>
          <w:p>
            <w:r>
              <w:t>Camadas</w:t>
            </w:r>
          </w:p>
        </w:tc>
        <w:tc>
          <w:tcPr>
            <w:tcW w:type="dxa" w:w="3305"/>
          </w:tcPr>
          <w:p>
            <w:r>
              <w:t>Grupos com visibility e alpha independentes</w:t>
            </w:r>
          </w:p>
        </w:tc>
        <w:tc>
          <w:tcPr>
            <w:tcW w:type="dxa" w:w="3305"/>
          </w:tcPr>
          <w:p>
            <w:r>
              <w:t>CONDICIONAL: manifest contém grupos</w:t>
            </w:r>
          </w:p>
        </w:tc>
      </w:tr>
      <w:tr>
        <w:tc>
          <w:tcPr>
            <w:tcW w:type="dxa" w:w="3305"/>
          </w:tcPr>
          <w:p>
            <w:r>
              <w:t>Corte anatômico</w:t>
            </w:r>
          </w:p>
        </w:tc>
        <w:tc>
          <w:tcPr>
            <w:tcW w:type="dxa" w:w="3305"/>
          </w:tcPr>
          <w:p>
            <w:r>
              <w:t>Secção real com preenchimento de superfície</w:t>
            </w:r>
          </w:p>
        </w:tc>
        <w:tc>
          <w:tcPr>
            <w:tcW w:type="dxa" w:w="3305"/>
          </w:tcPr>
          <w:p>
            <w:r>
              <w:t>BLOQUEADO: exige cap / malha preparada</w:t>
            </w:r>
          </w:p>
        </w:tc>
      </w:tr>
      <w:tr>
        <w:tc>
          <w:tcPr>
            <w:tcW w:type="dxa" w:w="3305"/>
          </w:tcPr>
          <w:p>
            <w:r>
              <w:t>Explodido</w:t>
            </w:r>
          </w:p>
        </w:tc>
        <w:tc>
          <w:tcPr>
            <w:tcW w:type="dxa" w:w="3305"/>
          </w:tcPr>
          <w:p>
            <w:r>
              <w:t>Separar e recompor grupos sem perder identidade</w:t>
            </w:r>
          </w:p>
        </w:tc>
        <w:tc>
          <w:tcPr>
            <w:tcW w:type="dxa" w:w="3305"/>
          </w:tcPr>
          <w:p>
            <w:r>
              <w:t>BLOQUEADO: offsets não medidos</w:t>
            </w:r>
          </w:p>
        </w:tc>
      </w:tr>
      <w:tr>
        <w:tc>
          <w:tcPr>
            <w:tcW w:type="dxa" w:w="3305"/>
          </w:tcPr>
          <w:p>
            <w:r>
              <w:t>Estrutura selecionada</w:t>
            </w:r>
          </w:p>
        </w:tc>
        <w:tc>
          <w:tcPr>
            <w:tcW w:type="dxa" w:w="3305"/>
          </w:tcPr>
          <w:p>
            <w:r>
              <w:t>Destacar, isolar, rotular e aproximar</w:t>
            </w:r>
          </w:p>
        </w:tc>
        <w:tc>
          <w:tcPr>
            <w:tcW w:type="dxa" w:w="3305"/>
          </w:tcPr>
          <w:p>
            <w:r>
              <w:t>CONDICIONAL: verificação de IDs no GLB</w:t>
            </w:r>
          </w:p>
        </w:tc>
      </w:tr>
      <w:tr>
        <w:tc>
          <w:tcPr>
            <w:tcW w:type="dxa" w:w="3305"/>
          </w:tcPr>
          <w:p>
            <w:r>
              <w:t>Apresentação automática</w:t>
            </w:r>
          </w:p>
        </w:tc>
        <w:tc>
          <w:tcPr>
            <w:tcW w:type="dxa" w:w="3305"/>
          </w:tcPr>
          <w:p>
            <w:r>
              <w:t>Narrativa por vistas e loop de 8s</w:t>
            </w:r>
          </w:p>
        </w:tc>
        <w:tc>
          <w:tcPr>
            <w:tcW w:type="dxa" w:w="3305"/>
          </w:tcPr>
          <w:p>
            <w:r>
              <w:t>BLOQUEADO até transforms determinísticos</w:t>
            </w:r>
          </w:p>
        </w:tc>
      </w:tr>
    </w:tbl>
    <w:p/>
    <w:p>
      <w:pPr>
        <w:pStyle w:val="Heading1"/>
      </w:pPr>
      <w:r>
        <w:t>4. Composição e conteúdo</w:t>
      </w:r>
    </w:p>
    <w:p>
      <w:r>
        <w:t>Desktop: narrativa editorial à esquerda, visualizador central com modelo suspenso em palco azul, painel flutuante à direita. Proporções-alvo 25/50/25, flexíveis. Tablet: editorial acima/ao lado do canvas e painel recolhível. Mobile: canvas primeiro, conteúdo em seções; bottom sheet sem cobrir estruturas. Prévias alteram largura do canvas, não um ícone.</w:t>
      </w:r>
    </w:p>
    <w:p>
      <w:r>
        <w:t>Marca: azul-cobalto #1455CC; acentos #86B9F2, #FFD52A, #F04D36, #F3F0E8 e #B9C0C8. Cores teciduais devem ter sentido didático; explicitar qualquer cor que não seja naturalista. Prancha PNG é conceitual e não foi comparada quadro-a-quadro ao vídeo original.</w:t>
      </w:r>
    </w:p>
    <w:p>
      <w:pPr>
        <w:pStyle w:val="Heading1"/>
      </w:pPr>
      <w:r>
        <w:t>5. Interações e regras de estado</w:t>
      </w:r>
    </w:p>
    <w:p>
      <w:r>
        <w:t>Controles: play/pause, timeline, velocidade, autoplay de rotação, camadas, transparência, seleção, foco, isolar, explodido, corte, legendas, reset, device preview. Cada controle precisa de status supported/unsupported e justificativa; dependências sem malha permanecem desabilitadas.</w:t>
      </w:r>
    </w:p>
    <w:p>
      <w:r>
        <w:t>Ao mudar explodido manualmente, pausar playback; ao reset, restaurar transforms e estado predefinido. Estrutura invisível não pode permanecer clicável. Seleção persiste apenas se seu objeto continua disponível; interação 3D nunca oculta alternativa textual.</w:t>
      </w:r>
    </w:p>
    <w:p>
      <w:pPr>
        <w:pStyle w:val="Heading1"/>
      </w:pPr>
      <w:r>
        <w:t>6. Estados e acessibilidade</w:t>
      </w:r>
    </w:p>
    <w:p>
      <w:r>
        <w:t>Estados: loading, ready-partial, ready-complete, asset-error, WebGL unavailable, missing-license, reduced-motion. Falha usa poster estático com aviso conceitual, mensagens recuperáveis e opção de tentar novamente. Tab/Enter/Espaço em controles; foco visível; navegação sem arrastar; conteúdos textuais; contraste; preferências de movimento reduzido.</w:t>
      </w:r>
    </w:p>
    <w:p>
      <w:pPr>
        <w:pStyle w:val="Heading1"/>
      </w:pPr>
      <w:r>
        <w:t>7. Indicadores e critérios de aceite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58"/>
        <w:gridCol w:w="4958"/>
      </w:tblGrid>
      <w:tr>
        <w:tc>
          <w:tcPr>
            <w:tcW w:type="dxa" w:w="4958"/>
            <w:shd w:fill="1455CC"/>
          </w:tcPr>
          <w:p>
            <w:r>
              <w:t>Código</w:t>
            </w:r>
          </w:p>
        </w:tc>
        <w:tc>
          <w:tcPr>
            <w:tcW w:type="dxa" w:w="4958"/>
            <w:shd w:fill="1455CC"/>
          </w:tcPr>
          <w:p>
            <w:r>
              <w:t>Aceite / prova exigida</w:t>
            </w:r>
          </w:p>
        </w:tc>
      </w:tr>
      <w:tr>
        <w:tc>
          <w:tcPr>
            <w:tcW w:type="dxa" w:w="4958"/>
          </w:tcPr>
          <w:p>
            <w:r>
              <w:t>AC-01</w:t>
            </w:r>
          </w:p>
        </w:tc>
        <w:tc>
          <w:tcPr>
            <w:tcW w:type="dxa" w:w="4958"/>
          </w:tcPr>
          <w:p>
            <w:r>
              <w:t>Malha validada e orientação certificada; hash e objeto documentado.</w:t>
            </w:r>
          </w:p>
        </w:tc>
      </w:tr>
      <w:tr>
        <w:tc>
          <w:tcPr>
            <w:tcW w:type="dxa" w:w="4958"/>
          </w:tcPr>
          <w:p>
            <w:r>
              <w:t>AC-02</w:t>
            </w:r>
          </w:p>
        </w:tc>
        <w:tc>
          <w:tcPr>
            <w:tcW w:type="dxa" w:w="4958"/>
          </w:tcPr>
          <w:p>
            <w:r>
              <w:t>Picking aponta ID correto; resolver path de glTF extras; 10 testes aleatórios revisados.</w:t>
            </w:r>
          </w:p>
        </w:tc>
      </w:tr>
      <w:tr>
        <w:tc>
          <w:tcPr>
            <w:tcW w:type="dxa" w:w="4958"/>
          </w:tcPr>
          <w:p>
            <w:r>
              <w:t>AC-03</w:t>
            </w:r>
          </w:p>
        </w:tc>
        <w:tc>
          <w:tcPr>
            <w:tcW w:type="dxa" w:w="4958"/>
          </w:tcPr>
          <w:p>
            <w:r>
              <w:t>Camadas alteram grupos certos; invisível não selecionável.</w:t>
            </w:r>
          </w:p>
        </w:tc>
      </w:tr>
      <w:tr>
        <w:tc>
          <w:tcPr>
            <w:tcW w:type="dxa" w:w="4958"/>
          </w:tcPr>
          <w:p>
            <w:r>
              <w:t>AC-04</w:t>
            </w:r>
          </w:p>
        </w:tc>
        <w:tc>
          <w:tcPr>
            <w:tcW w:type="dxa" w:w="4958"/>
          </w:tcPr>
          <w:p>
            <w:r>
              <w:t>Seek t em 0,2,4,5,7,8s reprodutível bit a bit dentro de tolerância numérica especificada.</w:t>
            </w:r>
          </w:p>
        </w:tc>
      </w:tr>
      <w:tr>
        <w:tc>
          <w:tcPr>
            <w:tcW w:type="dxa" w:w="4958"/>
          </w:tcPr>
          <w:p>
            <w:r>
              <w:t>AC-05</w:t>
            </w:r>
          </w:p>
        </w:tc>
        <w:tc>
          <w:tcPr>
            <w:tcW w:type="dxa" w:w="4958"/>
          </w:tcPr>
          <w:p>
            <w:r>
              <w:t>Explodido reversível; modo manual pausa autoplay e restauração absoluta.</w:t>
            </w:r>
          </w:p>
        </w:tc>
      </w:tr>
      <w:tr>
        <w:tc>
          <w:tcPr>
            <w:tcW w:type="dxa" w:w="4958"/>
          </w:tcPr>
          <w:p>
            <w:r>
              <w:t>AC-06</w:t>
            </w:r>
          </w:p>
        </w:tc>
        <w:tc>
          <w:tcPr>
            <w:tcW w:type="dxa" w:w="4958"/>
          </w:tcPr>
          <w:p>
            <w:r>
              <w:t>Corte tem superfície interna correta; não há vazamento visual.</w:t>
            </w:r>
          </w:p>
        </w:tc>
      </w:tr>
      <w:tr>
        <w:tc>
          <w:tcPr>
            <w:tcW w:type="dxa" w:w="4958"/>
          </w:tcPr>
          <w:p>
            <w:r>
              <w:t>AC-07</w:t>
            </w:r>
          </w:p>
        </w:tc>
        <w:tc>
          <w:tcPr>
            <w:tcW w:type="dxa" w:w="4958"/>
          </w:tcPr>
          <w:p>
            <w:r>
              <w:t>Desktop 1440, tablet 1024, mobile 390px: modelo inteiramente visível, sem controles sobrepostos.</w:t>
            </w:r>
          </w:p>
        </w:tc>
      </w:tr>
      <w:tr>
        <w:tc>
          <w:tcPr>
            <w:tcW w:type="dxa" w:w="4958"/>
          </w:tcPr>
          <w:p>
            <w:r>
              <w:t>AC-08</w:t>
            </w:r>
          </w:p>
        </w:tc>
        <w:tc>
          <w:tcPr>
            <w:tcW w:type="dxa" w:w="4958"/>
          </w:tcPr>
          <w:p>
            <w:r>
              <w:t>Auditoria de teclado, foco, legendas, motion e alternativas de erros.</w:t>
            </w:r>
          </w:p>
        </w:tc>
      </w:tr>
      <w:tr>
        <w:tc>
          <w:tcPr>
            <w:tcW w:type="dxa" w:w="4958"/>
          </w:tcPr>
          <w:p>
            <w:r>
              <w:t>AC-09</w:t>
            </w:r>
          </w:p>
        </w:tc>
        <w:tc>
          <w:tcPr>
            <w:tcW w:type="dxa" w:w="4958"/>
          </w:tcPr>
          <w:p>
            <w:r>
              <w:t>Registro de FPS/bytes/tempo por aparelho; metas propostas desktop 60, mobile 30 fps.</w:t>
            </w:r>
          </w:p>
        </w:tc>
      </w:tr>
      <w:tr>
        <w:tc>
          <w:tcPr>
            <w:tcW w:type="dxa" w:w="4958"/>
          </w:tcPr>
          <w:p>
            <w:r>
              <w:t>AC-10</w:t>
            </w:r>
          </w:p>
        </w:tc>
        <w:tc>
          <w:tcPr>
            <w:tcW w:type="dxa" w:w="4958"/>
          </w:tcPr>
          <w:p>
            <w:r>
              <w:t>Licenças por subasset, créditos e alterações publicadas com produto.</w:t>
            </w:r>
          </w:p>
        </w:tc>
      </w:tr>
    </w:tbl>
    <w:p/>
    <w:p>
      <w:pPr>
        <w:pStyle w:val="Heading1"/>
      </w:pPr>
      <w:r>
        <w:t>8. Fora de escopo e riscos</w:t>
      </w:r>
    </w:p>
    <w:p>
      <w:r>
        <w:t>Fora de escopo: diagnóstico, simulações de conectividade neural não demonstradas, anatomia inferida por IA, integração de usuários/pagamentos, vídeo como substituto do explorador. Riscos: licença de terceiros divergente, glTF sem IDs, modelo pesado, transparência com sorting ruim, secção aberta, mobile GPU limitada e inconsistência de lateralidade.</w:t>
      </w:r>
    </w:p>
    <w:p>
      <w:pPr>
        <w:pStyle w:val="Heading1"/>
      </w:pPr>
      <w:r>
        <w:t>9. Gates de entrega</w:t>
      </w:r>
    </w:p>
    <w:p>
      <w:r>
        <w:t>GATE A: fonte e termos públicos rastreáveis — parcialmente satisfeito. GATE B: binários obtidos e objetos inspecionados — NÃO satisfeito. GATE C: cabeça/crânio/encéfalo co-registrados — NÃO satisfeito. GATE D: piloto acessível medido — NÃO satisfeito. Não declarar entregue enquanto B–D estiverem abertos.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162" w:bottom="850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PRD / versão 0.3  ·  2026-10-16  ·  PESQUISA / CONSTRUÇÃO CONDICIONAL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455CC"/>
      </w:rPr>
      <w:t>EXECUTAR     /     NEUROATLAS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12A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5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5C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455C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