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Dokumentation – Kleinunternehmer Brutto-/Netto-Gutschrift</w:t>
      </w:r>
    </w:p>
    <w:p>
      <w:r>
        <w:rPr>
          <w:b/>
        </w:rPr>
        <w:t xml:space="preserve">Datum: </w:t>
      </w:r>
      <w:r>
        <w:t>August 2026</w:t>
      </w:r>
    </w:p>
    <w:p>
      <w:pPr>
        <w:pStyle w:val="Heading1"/>
      </w:pPr>
      <w:r>
        <w:t>Ziel der Änderung</w:t>
      </w:r>
    </w:p>
    <w:p>
      <w:r>
        <w:t>Für die Status TD (Tandemmaster) und Video wurde eine konfigurierbare Berechnungsbasis für Kleinunternehmer-Gutschriften eingeführt. Der Anwender kann festlegen, ob der Kleinunternehmer den hinterlegten Bruttopreis oder den daraus berechneten Nettopreis erhält.</w:t>
      </w:r>
    </w:p>
    <w:p>
      <w:pPr>
        <w:pStyle w:val="Heading1"/>
      </w:pPr>
      <w:r>
        <w:t>Betroffene Status</w:t>
      </w:r>
    </w:p>
    <w:p>
      <w:r>
        <w:t>Die Funktion wird ausschließlich für TD, Td-Vereins-Schirm und Video bereitgestellt. Td-Vereins-Schirm wird aktuell praktisch nicht mehr verwendet, die Unterstützung bleibt jedoch vorhanden.</w:t>
      </w:r>
    </w:p>
    <w:p>
      <w:pPr>
        <w:pStyle w:val="Heading1"/>
      </w:pPr>
      <w:r>
        <w:t>Funktionsweise</w:t>
      </w:r>
    </w:p>
    <w:p>
      <w:r>
        <w:t>Kleinunternehmer erhalten weiterhin eine Gutschrift mit 0 % MwSt. Die Einstellung beeinflusst ausschließlich die Berechnungsbasis des Auszahlungsbetrags. Auswahlmöglichkeiten: Bruttopreis oder Nettopreis.</w:t>
      </w:r>
    </w:p>
    <w:p>
      <w:pPr>
        <w:pStyle w:val="Heading1"/>
      </w:pPr>
      <w:r>
        <w:t>Beispiel</w:t>
      </w:r>
    </w:p>
    <w:p>
      <w:r>
        <w:t>Preis in der Preismatrix: 75,00 €. Bei Bruttopreis erhält der Kleinunternehmer 75,00 €. Bei Nettopreis wird der Betrag aus 75,00 € / 1,19 = 63,03 € berechnet. Die Gutschrift weist weiterhin 0 % MwSt. aus.</w:t>
      </w:r>
    </w:p>
    <w:p>
      <w:pPr>
        <w:pStyle w:val="Heading1"/>
      </w:pPr>
      <w:r>
        <w:t>Schirmmiete</w:t>
      </w:r>
    </w:p>
    <w:p>
      <w:r>
        <w:t>Die Schirmmiete ist technisch von der KU-Gutschrift getrennt. Sie wird als eigene Position erstellt und weiterhin mit dem in der Konfiguration hinterlegten MwSt.-Satz berechnet. Die Brutto-/Netto-Auswahl für Kleinunternehmer beeinflusst die Schirmmiete nicht.</w:t>
      </w:r>
    </w:p>
    <w:p>
      <w:pPr>
        <w:pStyle w:val="Heading1"/>
      </w:pPr>
      <w:r>
        <w:t>Technische Umsetzung</w:t>
      </w:r>
    </w:p>
    <w:p>
      <w:r>
        <w:t>Erweiterung der Preisverwaltung um die Auswahl „Kleinunternehmer erhält“. Einführung einer Migration für die neuen Felder. Speicherung von Snapshot-Informationen für Revisionssicherheit und Nachvollziehbarkeit.</w:t>
      </w:r>
    </w:p>
    <w:p>
      <w:pPr>
        <w:pStyle w:val="Heading1"/>
      </w:pPr>
      <w:r>
        <w:t>Benutzeroberfläche</w:t>
      </w:r>
    </w:p>
    <w:p>
      <w:r>
        <w:t>Die Auswahl wird nur für die relevanten Status angezeigt. Die Beschriftung lautet „Kleinunternehmer erhält“. Ein Info-Symbol mit Tooltip erläutert die Funktion kompakt und platzsparend.</w:t>
      </w:r>
    </w:p>
    <w:p>
      <w:pPr>
        <w:pStyle w:val="Heading1"/>
      </w:pPr>
      <w:r>
        <w:t>Revisionssicherheit</w:t>
      </w:r>
    </w:p>
    <w:p>
      <w:r>
        <w:t>Gespeichert werden unter anderem ursprünglicher Preis, MwSt.-Satz, gewählte Berechnungsbasis und der tatsächlich verwendete Auszahlungsbetrag. Dadurch bleiben spätere Prüfungen nachvollziehbar.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