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  <w:bookmarkStart w:id="33" w:name="_GoBack"/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Order/OrderFood/{userId}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Order/CancelOrder/{userId}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1011"/>
      <w:r>
        <w:rPr>
          <w:rFonts w:hint="eastAsia"/>
          <w:lang w:val="en-US" w:eastAsia="zh-CN"/>
        </w:rPr>
        <w:t>2.2.2 获取个人订餐信息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Order/GetPersonalOrderInformation/{userId}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00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List&lt;OrderInfo&gt;</w:t>
            </w:r>
          </w:p>
        </w:tc>
        <w:tc>
          <w:tcPr>
            <w:tcW w:w="35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D200C"/>
    <w:rsid w:val="09A05A85"/>
    <w:rsid w:val="0C9B330A"/>
    <w:rsid w:val="15D52C1F"/>
    <w:rsid w:val="1EAF6050"/>
    <w:rsid w:val="228256AE"/>
    <w:rsid w:val="2DC057F2"/>
    <w:rsid w:val="3BBB4C8C"/>
    <w:rsid w:val="3FF72A15"/>
    <w:rsid w:val="556A6445"/>
    <w:rsid w:val="5CA32B4C"/>
    <w:rsid w:val="651375E4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2018-02-01T10:42:21Z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