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304B0" w14:textId="77777777" w:rsidR="00E70D79" w:rsidRDefault="00E70D79" w:rsidP="00E70D79">
      <w:r>
        <w:t>Major/critical changes per topic in the new dict</w:t>
      </w:r>
    </w:p>
    <w:p w14:paraId="0637980D" w14:textId="77777777" w:rsidR="00E70D79" w:rsidRDefault="00E70D79" w:rsidP="00E70D79"/>
    <w:p w14:paraId="1DD0E279" w14:textId="77777777" w:rsidR="00E70D79" w:rsidRDefault="00E70D79" w:rsidP="00E70D79">
      <w:r>
        <w:t>Introduction and Purpose</w:t>
      </w:r>
    </w:p>
    <w:p w14:paraId="718CF4D3" w14:textId="77777777" w:rsidR="00E70D79" w:rsidRDefault="00E70D79" w:rsidP="00E70D79"/>
    <w:p w14:paraId="47993DAF" w14:textId="77777777" w:rsidR="00E70D79" w:rsidRDefault="00E70D79" w:rsidP="00E70D79">
      <w:r>
        <w:t>- All banks licensed by the Central Bank of the UAE must ensure that Pillar 1 risks are mitigated by capital.</w:t>
      </w:r>
    </w:p>
    <w:p w14:paraId="5CE0464D" w14:textId="77777777" w:rsidR="00E70D79" w:rsidRDefault="00E70D79" w:rsidP="00E70D79">
      <w:r>
        <w:t>- Each bank is required to have a process to assess its overall capital adequacy as a function of its risk profile and its strategy.</w:t>
      </w:r>
    </w:p>
    <w:p w14:paraId="22F5EF1C" w14:textId="77777777" w:rsidR="00E70D79" w:rsidRDefault="00E70D79" w:rsidP="00E70D79">
      <w:r>
        <w:t>- The ICAAP is a critical reference for supervision and for the supervisory dialogue between banks and Central Bank.</w:t>
      </w:r>
    </w:p>
    <w:p w14:paraId="4FE2D7AB" w14:textId="77777777" w:rsidR="00E70D79" w:rsidRDefault="00E70D79" w:rsidP="00E70D79">
      <w:r>
        <w:t>- This Guidance presents minimum expected practices to be considered by each bank in order to undertake their ICAAP.</w:t>
      </w:r>
    </w:p>
    <w:p w14:paraId="4C78946F" w14:textId="77777777" w:rsidR="00E70D79" w:rsidRDefault="00E70D79" w:rsidP="00E70D79">
      <w:r>
        <w:t>- All methodologies employed by a bank for its ICAAP should be relevant to its business model, risk profile, to the geographies of its exposures, and, in particular, to the features of the UAE economy.</w:t>
      </w:r>
    </w:p>
    <w:p w14:paraId="48E353F2" w14:textId="77777777" w:rsidR="00E70D79" w:rsidRDefault="00E70D79" w:rsidP="00E70D79">
      <w:r>
        <w:t>- The Central Bank may apply proportionality for smaller and less complex banks when evaluating the ICAAP.</w:t>
      </w:r>
    </w:p>
    <w:p w14:paraId="54183AC9" w14:textId="77777777" w:rsidR="00E70D79" w:rsidRDefault="00E70D79" w:rsidP="00E70D79"/>
    <w:p w14:paraId="409422FC" w14:textId="77777777" w:rsidR="00E70D79" w:rsidRDefault="00E70D79" w:rsidP="00E70D79">
      <w:r>
        <w:t>ICAAP Executive Summary</w:t>
      </w:r>
    </w:p>
    <w:p w14:paraId="0E0F01F4" w14:textId="77777777" w:rsidR="00E70D79" w:rsidRDefault="00E70D79" w:rsidP="00E70D79"/>
    <w:p w14:paraId="70CAB066" w14:textId="77777777" w:rsidR="00E70D79" w:rsidRDefault="00E70D79" w:rsidP="00E70D79">
      <w:r>
        <w:t>- ICAAP executive summary should explain the views of Senior Management and the Board on the suitability of the bank’s capital to cover the risks faced by the bank.</w:t>
      </w:r>
    </w:p>
    <w:p w14:paraId="2ADE3330" w14:textId="77777777" w:rsidR="00E70D79" w:rsidRDefault="00E70D79" w:rsidP="00E70D79">
      <w:r>
        <w:t>- The executive summary should contain the following elements: main findings, governance framework, bank's structure, current capital position, capital composition, budgeted capital position, stress scenarios, risk management processes, and conclusion.</w:t>
      </w:r>
    </w:p>
    <w:p w14:paraId="295E9546" w14:textId="77777777" w:rsidR="00E70D79" w:rsidRDefault="00E70D79" w:rsidP="00E70D79"/>
    <w:p w14:paraId="2C917A4B" w14:textId="77777777" w:rsidR="00E70D79" w:rsidRDefault="00E70D79" w:rsidP="00E70D79">
      <w:r>
        <w:t>ICAAP Governance</w:t>
      </w:r>
    </w:p>
    <w:p w14:paraId="640D5D3F" w14:textId="77777777" w:rsidR="00E70D79" w:rsidRDefault="00E70D79" w:rsidP="00E70D79"/>
    <w:p w14:paraId="6FBF1718" w14:textId="77777777" w:rsidR="00E70D79" w:rsidRDefault="00E70D79" w:rsidP="00E70D79">
      <w:r>
        <w:t>- The Board of Directors has ultimate ownership and responsibility of the ICAAP.</w:t>
      </w:r>
    </w:p>
    <w:p w14:paraId="10E5F26D" w14:textId="77777777" w:rsidR="00E70D79" w:rsidRDefault="00E70D79" w:rsidP="00E70D79">
      <w:r>
        <w:t>- The ICAAP should be subject to an effective decision-making process.</w:t>
      </w:r>
    </w:p>
    <w:p w14:paraId="6091F911" w14:textId="77777777" w:rsidR="00E70D79" w:rsidRDefault="00E70D79" w:rsidP="00E70D79">
      <w:r>
        <w:t>- The ICAAP governance framework should ensure that the ICAAP is an integral part of the bank’s management process and decision-making.</w:t>
      </w:r>
    </w:p>
    <w:p w14:paraId="5B0CE73A" w14:textId="77777777" w:rsidR="00E70D79" w:rsidRDefault="00E70D79" w:rsidP="00E70D79"/>
    <w:p w14:paraId="190F850C" w14:textId="77777777" w:rsidR="00E70D79" w:rsidRDefault="00E70D79" w:rsidP="00E70D79">
      <w:r>
        <w:t>ICAAP Methodology, Scope and Use Test</w:t>
      </w:r>
    </w:p>
    <w:p w14:paraId="036FE332" w14:textId="77777777" w:rsidR="00E70D79" w:rsidRDefault="00E70D79" w:rsidP="00E70D79"/>
    <w:p w14:paraId="766BB3BA" w14:textId="77777777" w:rsidR="00E70D79" w:rsidRDefault="00E70D79" w:rsidP="00E70D79">
      <w:r>
        <w:t>- ICAAP is an ongoing process, conducted at least quarterly.</w:t>
      </w:r>
    </w:p>
    <w:p w14:paraId="1CDADA1D" w14:textId="77777777" w:rsidR="00E70D79" w:rsidRDefault="00E70D79" w:rsidP="00E70D79">
      <w:r>
        <w:t>- The ICAAP should be supported by robust methodologies and data.</w:t>
      </w:r>
    </w:p>
    <w:p w14:paraId="12EE419C" w14:textId="77777777" w:rsidR="00E70D79" w:rsidRDefault="00E70D79" w:rsidP="00E70D79">
      <w:r>
        <w:t>- The ICAAP should be conducted at each level, with a special focus on the group level for local banks.</w:t>
      </w:r>
    </w:p>
    <w:p w14:paraId="5957C48E" w14:textId="77777777" w:rsidR="00E70D79" w:rsidRDefault="00E70D79" w:rsidP="00E70D79">
      <w:r>
        <w:t>- The ICAAP and the bank’s business strategy form a feedback process.</w:t>
      </w:r>
    </w:p>
    <w:p w14:paraId="171C4EFC" w14:textId="77777777" w:rsidR="00E70D79" w:rsidRDefault="00E70D79" w:rsidP="00E70D79"/>
    <w:p w14:paraId="340ED364" w14:textId="77777777" w:rsidR="00E70D79" w:rsidRDefault="00E70D79" w:rsidP="00E70D79">
      <w:r>
        <w:t>Capital Planning</w:t>
      </w:r>
    </w:p>
    <w:p w14:paraId="37D085DC" w14:textId="77777777" w:rsidR="00E70D79" w:rsidRDefault="00E70D79" w:rsidP="00E70D79"/>
    <w:p w14:paraId="55AC1D4A" w14:textId="77777777" w:rsidR="00E70D79" w:rsidRDefault="00E70D79" w:rsidP="00E70D79">
      <w:r>
        <w:t>- Banks should have a capital plan approved by the Board.</w:t>
      </w:r>
    </w:p>
    <w:p w14:paraId="46EC8DF4" w14:textId="77777777" w:rsidR="00E70D79" w:rsidRDefault="00E70D79" w:rsidP="00E70D79">
      <w:r>
        <w:lastRenderedPageBreak/>
        <w:t>- The ICAAP should be forward-looking taking into account both internal and external drivers over a period covering three (3) to five (5) years.</w:t>
      </w:r>
    </w:p>
    <w:p w14:paraId="7C0E9CF5" w14:textId="77777777" w:rsidR="00E70D79" w:rsidRDefault="00E70D79" w:rsidP="00E70D79">
      <w:r>
        <w:t>- The multi-year capital forecast should be assessed and calibrated through two perspectives: Pillar 1 and Pillar 2.</w:t>
      </w:r>
    </w:p>
    <w:p w14:paraId="57A8629B" w14:textId="77777777" w:rsidR="00E70D79" w:rsidRDefault="00E70D79" w:rsidP="00E70D79">
      <w:r>
        <w:t>- Banks are required to fulfill internal risk appetite requirements in the bank’s self-assessment of Pillar 1 and Pillar 2 minimum regulatory capital requirements.</w:t>
      </w:r>
    </w:p>
    <w:p w14:paraId="71DBBB08" w14:textId="77777777" w:rsidR="00E70D79" w:rsidRDefault="00E70D79" w:rsidP="00E70D79"/>
    <w:p w14:paraId="15A3233C" w14:textId="77777777" w:rsidR="00E70D79" w:rsidRDefault="00E70D79" w:rsidP="00E70D79">
      <w:r>
        <w:t>Material Risks</w:t>
      </w:r>
    </w:p>
    <w:p w14:paraId="2E8B7C0E" w14:textId="77777777" w:rsidR="00E70D79" w:rsidRDefault="00E70D79" w:rsidP="00E70D79"/>
    <w:p w14:paraId="3822F4F6" w14:textId="77777777" w:rsidR="00E70D79" w:rsidRDefault="00E70D79" w:rsidP="00E70D79">
      <w:r>
        <w:t>- Banks should have a robust risk management framework that is able to identify, measure, monitor, and mitigate risks.</w:t>
      </w:r>
    </w:p>
    <w:p w14:paraId="301C4CF9" w14:textId="77777777" w:rsidR="00E70D79" w:rsidRDefault="00E70D79" w:rsidP="00E70D79">
      <w:r>
        <w:t>- The risk management framework should be based on an appropriate risk appetite statement.</w:t>
      </w:r>
    </w:p>
    <w:p w14:paraId="48C1AA7F" w14:textId="77777777" w:rsidR="00E70D79" w:rsidRDefault="00E70D79" w:rsidP="00E70D79">
      <w:r>
        <w:t>- The framework should be documented and regularly reviewed.</w:t>
      </w:r>
    </w:p>
    <w:p w14:paraId="48B6B343" w14:textId="77777777" w:rsidR="00E70D79" w:rsidRDefault="00E70D79" w:rsidP="00E70D79">
      <w:r>
        <w:t>- The framework should be risk-based and include all material risks.</w:t>
      </w:r>
    </w:p>
    <w:p w14:paraId="2407E51D" w14:textId="77777777" w:rsidR="00E70D79" w:rsidRDefault="00E70D79" w:rsidP="00E70D79">
      <w:r>
        <w:t>- The framework should be implemented and actively used by all levels of the bank.</w:t>
      </w:r>
    </w:p>
    <w:p w14:paraId="5DED3FDB" w14:textId="77777777" w:rsidR="00E70D79" w:rsidRDefault="00E70D79" w:rsidP="00E70D79">
      <w:r>
        <w:t>- The framework should be subject to independent validation.</w:t>
      </w:r>
    </w:p>
    <w:p w14:paraId="71B7A8D8" w14:textId="77777777" w:rsidR="00E70D79" w:rsidRDefault="00E70D79" w:rsidP="00E70D79"/>
    <w:p w14:paraId="2DD56313" w14:textId="77777777" w:rsidR="00E70D79" w:rsidRDefault="00E70D79" w:rsidP="00E70D79">
      <w:r>
        <w:t>ICAAP Stress Test and Reverse Stress Test</w:t>
      </w:r>
    </w:p>
    <w:p w14:paraId="6E46AC70" w14:textId="77777777" w:rsidR="00E70D79" w:rsidRDefault="00E70D79" w:rsidP="00E70D79"/>
    <w:p w14:paraId="28522B0B" w14:textId="77777777" w:rsidR="00E70D79" w:rsidRDefault="00E70D79" w:rsidP="00E70D79">
      <w:r>
        <w:t>- Stress tests should be conducted regularly and at least quarterly.</w:t>
      </w:r>
    </w:p>
    <w:p w14:paraId="7349FD44" w14:textId="77777777" w:rsidR="00E70D79" w:rsidRDefault="00E70D79" w:rsidP="00E70D79">
      <w:r>
        <w:t>- Stress test scenarios should be designed to capture the risks and potential losses appropriately.</w:t>
      </w:r>
    </w:p>
    <w:p w14:paraId="78860359" w14:textId="77777777" w:rsidR="00E70D79" w:rsidRDefault="00E70D79" w:rsidP="00E70D79">
      <w:r>
        <w:t>- Stress test methodologies should be robust and documented.</w:t>
      </w:r>
    </w:p>
    <w:p w14:paraId="483B7208" w14:textId="77777777" w:rsidR="00E70D79" w:rsidRDefault="00E70D79" w:rsidP="00E70D79">
      <w:r>
        <w:t>- Stress tests should support decision-making throughout the bank effectively.</w:t>
      </w:r>
    </w:p>
    <w:p w14:paraId="2B926AC2" w14:textId="77777777" w:rsidR="00E70D79" w:rsidRDefault="00E70D79" w:rsidP="00E70D79">
      <w:r>
        <w:t>- Reverse stress tests should be conducted to assess the likelihood of occurrence of a pre-defined outcome where the bank’s business model becomes non-viable.</w:t>
      </w:r>
    </w:p>
    <w:p w14:paraId="2B1663C1" w14:textId="77777777" w:rsidR="00E70D79" w:rsidRDefault="00E70D79" w:rsidP="00E70D79"/>
    <w:p w14:paraId="14FD9D56" w14:textId="77777777" w:rsidR="00E70D79" w:rsidRDefault="00E70D79" w:rsidP="00E70D79">
      <w:r>
        <w:t>ICAAP Submission and Approval</w:t>
      </w:r>
    </w:p>
    <w:p w14:paraId="6089A4E3" w14:textId="77777777" w:rsidR="00E70D79" w:rsidRDefault="00E70D79" w:rsidP="00E70D79"/>
    <w:p w14:paraId="1B877E98" w14:textId="77777777" w:rsidR="00E70D79" w:rsidRDefault="00E70D79" w:rsidP="00E70D79">
      <w:r>
        <w:t>- The annual ICAAP report should be submitted to the Central Bank on or before the submission dates addressed in Table 1.</w:t>
      </w:r>
    </w:p>
    <w:p w14:paraId="381056CD" w14:textId="77777777" w:rsidR="00E70D79" w:rsidRDefault="00E70D79" w:rsidP="00E70D79">
      <w:r>
        <w:t>- All documents have to be submitted to the respective Central Bank reviewer by softcopy (submitted in word or pdf format), sending a copy to bsed.basel@cbuae.gov.ae.</w:t>
      </w:r>
    </w:p>
    <w:p w14:paraId="65DEB82F" w14:textId="77777777" w:rsidR="00E70D79" w:rsidRDefault="00E70D79" w:rsidP="00E70D79">
      <w:r>
        <w:t>- The submission dates below as per Notice 2940/2022 differentiate between (i) national banks and foreign bank and (ii) size and importance of the banks.</w:t>
      </w:r>
    </w:p>
    <w:p w14:paraId="2C4CC861" w14:textId="77777777" w:rsidR="00E70D79" w:rsidRDefault="00E70D79" w:rsidP="00E70D79"/>
    <w:p w14:paraId="18AFFAE5" w14:textId="77777777" w:rsidR="00E70D79" w:rsidRDefault="00E70D79" w:rsidP="00E70D79">
      <w:r>
        <w:t>Internal Control Review</w:t>
      </w:r>
    </w:p>
    <w:p w14:paraId="3238EBDF" w14:textId="77777777" w:rsidR="00E70D79" w:rsidRDefault="00E70D79" w:rsidP="00E70D79"/>
    <w:p w14:paraId="4CBDAB31" w14:textId="77777777" w:rsidR="00E70D79" w:rsidRDefault="00E70D79" w:rsidP="00E70D79">
      <w:r>
        <w:t>- Internal control structure is essential to the capital assessment process.</w:t>
      </w:r>
    </w:p>
    <w:p w14:paraId="235D6732" w14:textId="77777777" w:rsidR="00E70D79" w:rsidRDefault="00E70D79" w:rsidP="00E70D79">
      <w:r>
        <w:t>- Internal audit should perform an audit on the bank's ICAAP report annually.</w:t>
      </w:r>
    </w:p>
    <w:p w14:paraId="514CAE52" w14:textId="77777777" w:rsidR="00E70D79" w:rsidRDefault="00E70D79" w:rsidP="00E70D79">
      <w:r>
        <w:t>- Internal control functions should perform regular reviews of the risk management process to make sure its coherence, validity, and rationality.</w:t>
      </w:r>
    </w:p>
    <w:p w14:paraId="417C5490" w14:textId="05C872BC" w:rsidR="00000000" w:rsidRPr="00E70D79" w:rsidRDefault="00E70D79" w:rsidP="00E70D79">
      <w:r>
        <w:t xml:space="preserve">- The review of the ICAAP should cover the following: (i) Ensuring that the ICAAP is complete and suitable as of the bank's context , operational conditions, the reliability of controls behind </w:t>
      </w:r>
      <w:r>
        <w:lastRenderedPageBreak/>
        <w:t>it; (ii) The process of identifying all material risks; (iii) Efficiency of the information systems that support the ICAAP;  171  CBUAE Classification: Public (iv) Ensuring that the measurement methodologies in</w:t>
      </w:r>
    </w:p>
    <w:sectPr w:rsidR="007113B7" w:rsidRPr="00E70D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D79"/>
    <w:rsid w:val="000422CC"/>
    <w:rsid w:val="001F440B"/>
    <w:rsid w:val="002352EF"/>
    <w:rsid w:val="004D0987"/>
    <w:rsid w:val="00596CEE"/>
    <w:rsid w:val="00676461"/>
    <w:rsid w:val="009408D3"/>
    <w:rsid w:val="00E7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F24E8"/>
  <w15:chartTrackingRefBased/>
  <w15:docId w15:val="{95A5DF6F-840D-464B-9F05-D8433BF33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Fahad</dc:creator>
  <cp:keywords/>
  <dc:description/>
  <cp:lastModifiedBy>Mohammed Fahad</cp:lastModifiedBy>
  <cp:revision>2</cp:revision>
  <dcterms:created xsi:type="dcterms:W3CDTF">2023-08-09T07:37:00Z</dcterms:created>
  <dcterms:modified xsi:type="dcterms:W3CDTF">2023-08-09T07:37:00Z</dcterms:modified>
</cp:coreProperties>
</file>