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06"/>
        <w:ind w:left="0" w:right="0"/>
      </w:pPr>
    </w:p>
    <w:p>
      <w:pPr>
        <w:autoSpaceDN w:val="0"/>
        <w:autoSpaceDE w:val="0"/>
        <w:widowControl/>
        <w:spacing w:line="245" w:lineRule="auto" w:before="268" w:after="0"/>
        <w:ind w:left="290" w:right="0" w:firstLine="0"/>
        <w:jc w:val="left"/>
      </w:pPr>
      <w:r>
        <w:rPr>
          <w:rFonts w:ascii="PalatinoLinotypeKZBold" w:hAnsi="PalatinoLinotypeKZBold" w:eastAsia="PalatinoLinotypeKZBold"/>
          <w:b/>
          <w:i w:val="0"/>
          <w:color w:val="000000"/>
          <w:sz w:val="21"/>
        </w:rPr>
        <w:t xml:space="preserve">Рецензия </w:t>
      </w:r>
      <w:r>
        <w:br/>
      </w:r>
      <w:r>
        <w:rPr>
          <w:rFonts w:ascii="PalatinoLinotypeKZBold" w:hAnsi="PalatinoLinotypeKZBold" w:eastAsia="PalatinoLinotypeKZBold"/>
          <w:b/>
          <w:i w:val="0"/>
          <w:color w:val="000000"/>
          <w:sz w:val="21"/>
        </w:rPr>
        <w:t xml:space="preserve">на книгу Буркитбай Аяган </w:t>
      </w:r>
      <w:r>
        <w:br/>
      </w:r>
      <w:r>
        <w:rPr>
          <w:rFonts w:ascii="PalatinoLinotypeKZBold" w:hAnsi="PalatinoLinotypeKZBold" w:eastAsia="PalatinoLinotypeKZBold"/>
          <w:b/>
          <w:i w:val="0"/>
          <w:color w:val="000000"/>
          <w:sz w:val="21"/>
        </w:rPr>
        <w:t>«История Улуг Улуса – Золотой Орды. Курс лекций. – Алматы: Литера-М, 2020. – 224 с.</w:t>
      </w:r>
    </w:p>
    <w:p>
      <w:pPr>
        <w:autoSpaceDN w:val="0"/>
        <w:autoSpaceDE w:val="0"/>
        <w:widowControl/>
        <w:spacing w:line="209" w:lineRule="auto" w:before="288" w:after="0"/>
        <w:ind w:left="290" w:right="0" w:firstLine="0"/>
        <w:jc w:val="left"/>
      </w:pPr>
      <w:r>
        <w:rPr>
          <w:rFonts w:ascii="PalatinoLinotypeKZBold" w:hAnsi="PalatinoLinotypeKZBold" w:eastAsia="PalatinoLinotypeKZBold"/>
          <w:b/>
          <w:i w:val="0"/>
          <w:color w:val="000000"/>
          <w:sz w:val="21"/>
        </w:rPr>
        <w:t>Канат Ускенбай</w:t>
      </w:r>
      <w:r>
        <w:rPr>
          <w:w w:val="102.02500025431316"/>
          <w:rFonts w:ascii="PalatinoLinotypeKZBold" w:hAnsi="PalatinoLinotypeKZBold" w:eastAsia="PalatinoLinotypeKZBold"/>
          <w:b/>
          <w:i w:val="0"/>
          <w:color w:val="000000"/>
          <w:sz w:val="12"/>
        </w:rPr>
        <w:t>а</w:t>
      </w:r>
      <w:r>
        <w:rPr>
          <w:rFonts w:ascii="PalatinoLinotypeKZBold" w:hAnsi="PalatinoLinotypeKZBold" w:eastAsia="PalatinoLinotypeKZBold"/>
          <w:b/>
          <w:i w:val="0"/>
          <w:color w:val="000000"/>
          <w:sz w:val="21"/>
        </w:rPr>
        <w:t>*, Роман Хаутала</w:t>
      </w:r>
      <w:r>
        <w:rPr>
          <w:w w:val="102.02500025431316"/>
          <w:rFonts w:ascii="PalatinoLinotypeKZBold" w:hAnsi="PalatinoLinotypeKZBold" w:eastAsia="PalatinoLinotypeKZBold"/>
          <w:b/>
          <w:i w:val="0"/>
          <w:color w:val="000000"/>
          <w:sz w:val="12"/>
        </w:rPr>
        <w:t>б</w:t>
      </w:r>
    </w:p>
    <w:p>
      <w:pPr>
        <w:autoSpaceDN w:val="0"/>
        <w:autoSpaceDE w:val="0"/>
        <w:widowControl/>
        <w:spacing w:line="245" w:lineRule="auto" w:before="288" w:after="0"/>
        <w:ind w:left="290" w:right="2448" w:firstLine="0"/>
        <w:jc w:val="left"/>
      </w:pPr>
      <w:r>
        <w:rPr>
          <w:w w:val="102.02500025431316"/>
          <w:rFonts w:ascii="PalatinoLinotypeKZItalic" w:hAnsi="PalatinoLinotypeKZItalic" w:eastAsia="PalatinoLinotypeKZItalic"/>
          <w:b w:val="0"/>
          <w:i/>
          <w:color w:val="000000"/>
          <w:sz w:val="12"/>
        </w:rPr>
        <w:t>а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 Институт гуманитарных исследований АБДИ, Алматы, Казахстан</w:t>
      </w:r>
      <w:r>
        <w:rPr>
          <w:w w:val="102.02500025431316"/>
          <w:rFonts w:ascii="PalatinoLinotypeKZItalic" w:hAnsi="PalatinoLinotypeKZItalic" w:eastAsia="PalatinoLinotypeKZItalic"/>
          <w:b w:val="0"/>
          <w:i/>
          <w:color w:val="000000"/>
          <w:sz w:val="12"/>
        </w:rPr>
        <w:t>б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 Университет Оулу, Оулу, Финляндия</w:t>
      </w:r>
    </w:p>
    <w:p>
      <w:pPr>
        <w:autoSpaceDN w:val="0"/>
        <w:tabs>
          <w:tab w:pos="5768" w:val="left"/>
          <w:tab w:pos="6758" w:val="left"/>
          <w:tab w:pos="7124" w:val="left"/>
          <w:tab w:pos="7218" w:val="left"/>
          <w:tab w:pos="8638" w:val="left"/>
        </w:tabs>
        <w:autoSpaceDE w:val="0"/>
        <w:widowControl/>
        <w:spacing w:line="245" w:lineRule="auto" w:before="290" w:after="0"/>
        <w:ind w:left="5688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Corresponding author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E-mail: </w:t>
      </w:r>
      <w:r>
        <w:br/>
      </w:r>
      <w:r>
        <w:tab/>
      </w:r>
      <w:r>
        <w:tab/>
      </w:r>
      <w:r>
        <w:tab/>
      </w:r>
      <w:r>
        <w:rPr>
          <w:w w:val="102.02500025431316"/>
          <w:rFonts w:ascii="PalatinoLinotypeKZ" w:hAnsi="PalatinoLinotypeKZ" w:eastAsia="PalatinoLinotypeKZ"/>
          <w:b w:val="0"/>
          <w:i w:val="0"/>
          <w:color w:val="000000"/>
          <w:sz w:val="12"/>
        </w:rPr>
        <w:t>а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uskenbay@gmail.com, </w:t>
      </w:r>
      <w:r>
        <w:br/>
      </w:r>
      <w:r>
        <w:tab/>
      </w:r>
      <w:r>
        <w:tab/>
      </w:r>
      <w:r>
        <w:rPr>
          <w:w w:val="102.02500025431316"/>
          <w:rFonts w:ascii="PalatinoLinotypeKZ" w:hAnsi="PalatinoLinotypeKZ" w:eastAsia="PalatinoLinotypeKZ"/>
          <w:b w:val="0"/>
          <w:i w:val="0"/>
          <w:color w:val="000000"/>
          <w:sz w:val="12"/>
        </w:rPr>
        <w:t>б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romanhautala@gmail.com</w:t>
      </w:r>
      <w:r>
        <w:br/>
      </w:r>
      <w:r>
        <w:rPr>
          <w:w w:val="102.02500025431316"/>
          <w:rFonts w:ascii="PalatinoLinotypeKZ" w:hAnsi="PalatinoLinotypeKZ" w:eastAsia="PalatinoLinotypeKZ"/>
          <w:b w:val="0"/>
          <w:i w:val="0"/>
          <w:color w:val="000000"/>
          <w:sz w:val="12"/>
        </w:rPr>
        <w:t>а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https://orcid.org/0000-0002-9893-763X; </w:t>
      </w:r>
      <w:r>
        <w:br/>
      </w:r>
      <w:r>
        <w:rPr>
          <w:w w:val="102.02500025431316"/>
          <w:rFonts w:ascii="PalatinoLinotypeKZ" w:hAnsi="PalatinoLinotypeKZ" w:eastAsia="PalatinoLinotypeKZ"/>
          <w:b w:val="0"/>
          <w:i w:val="0"/>
          <w:color w:val="000000"/>
          <w:sz w:val="12"/>
        </w:rPr>
        <w:t>б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https://orcid.org/0000-0003-3898-0107</w:t>
      </w:r>
    </w:p>
    <w:p>
      <w:pPr>
        <w:autoSpaceDN w:val="0"/>
        <w:autoSpaceDE w:val="0"/>
        <w:widowControl/>
        <w:spacing w:line="245" w:lineRule="auto" w:before="290" w:after="0"/>
        <w:ind w:left="6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В конце 2019 года власти Казахстана объявили о начале празднований в честь 750-летия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Золотой Орды. Государственные и общественные деятели, ученые и журналисты наперебой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заговорили о важной роли Золотой Орды в казахской истории. Не остались в стороне 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историки Казахстана. 24 февраля 2021 года, по сообщению МИА «Казинформ» в городе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Нур-Султан в «Библиотеке Елбасы» состоялась презентация новой книги Буркитбая Аягана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«История Улуг Улуса – Золотой Орды (курс лекций)» [1] на казахском и русском языках. На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презентации присутствовали ученые из Казахстана, России, Турции и США, политические 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общественные деятели [2].</w:t>
      </w:r>
    </w:p>
    <w:p>
      <w:pPr>
        <w:autoSpaceDN w:val="0"/>
        <w:autoSpaceDE w:val="0"/>
        <w:widowControl/>
        <w:spacing w:line="245" w:lineRule="auto" w:before="4" w:after="0"/>
        <w:ind w:left="6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Как сказано в биографической справке в конце книги, ее автор доктор исторических наук,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профессор, академик Академии образования, глава Лиги профессиональных историков 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обществоведов Б.Г. Аяган является также автором других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«крупных научных исследований,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монографий и учебников по истории Казахстана»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223). Наличие у автора книги такого обширного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перечня научных регалий и трудов могло бы свидетельствовать о новой и качественной работе,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но наше знакомство с этим сочинением Аягана говорит об обратном. Доказательству этого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нашего утверждения и посвящена наша критическая рецензия.</w:t>
      </w:r>
    </w:p>
    <w:p>
      <w:pPr>
        <w:autoSpaceDN w:val="0"/>
        <w:autoSpaceDE w:val="0"/>
        <w:widowControl/>
        <w:spacing w:line="245" w:lineRule="auto" w:before="4" w:after="0"/>
        <w:ind w:left="6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Авторы рецензии знакомы с некоторыми прежними работами Аягана и существующими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критическими отзывами на них, а также с некоторыми судебными решениями, связанными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с плагиатом и воровством интеллектуальной собственности. Мы не будем вдаваться в эти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подробности и отсылаем заинтересованного читателя к монографии казахстанского историка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Нурлана Атыгаева, в которой приведены его рецензии на другую книгу Аягана и дана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литература вопроса [3, 333–370 с.]. </w:t>
      </w:r>
    </w:p>
    <w:p>
      <w:pPr>
        <w:autoSpaceDN w:val="0"/>
        <w:autoSpaceDE w:val="0"/>
        <w:widowControl/>
        <w:spacing w:line="245" w:lineRule="auto" w:before="4" w:after="488"/>
        <w:ind w:left="6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Наше внимание к новой книге обусловлено несколькими факторами. Во-первых, мы,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авторы рецензии, на протяжении многих лет занимаемся изучением истории Золотой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Орды и имеем ученые степени по данной теме, что позволяет нам высказаться по данному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вопросу. Во-вторых, наше недоумение вызывает тот факт, что эту книгу вместо того, чтобы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отправить на переработку, по какой-то неведомой нам причине одобрили представители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профессионального исторического сообщества Казахстана и России. В частности, в книге стоит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знак авторского права некой «Лиги профессиональных историков и обществоведов»; рукопись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рекомендована к печати ученым советом Института истории государства Министерства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образования и науки Республики Казахстан; ее одобрили официальные рецензенты. В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предисловии Аяган благодарит внушительный список историков и прочих представителей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5"/>
        <w:gridCol w:w="3125"/>
        <w:gridCol w:w="3125"/>
      </w:tblGrid>
      <w:tr>
        <w:trPr>
          <w:trHeight w:hRule="exact" w:val="704"/>
        </w:trPr>
        <w:tc>
          <w:tcPr>
            <w:tcW w:type="dxa" w:w="50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0" w:right="0" w:firstLine="0"/>
              <w:jc w:val="center"/>
            </w:pPr>
            <w:r>
              <w:rPr>
                <w:rFonts w:ascii="ArialKZ" w:hAnsi="ArialKZ" w:eastAsia="ArialKZ"/>
                <w:b w:val="0"/>
                <w:i w:val="0"/>
                <w:color w:val="000000"/>
                <w:sz w:val="20"/>
              </w:rPr>
              <w:t>202</w:t>
            </w:r>
          </w:p>
        </w:tc>
        <w:tc>
          <w:tcPr>
            <w:tcW w:type="dxa" w:w="252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42" w:after="0"/>
              <w:ind w:left="88" w:right="0" w:firstLine="0"/>
              <w:jc w:val="left"/>
            </w:pPr>
            <w:r>
              <w:rPr>
                <w:w w:val="97.5108814239502"/>
                <w:rFonts w:ascii="ArialKZ" w:hAnsi="ArialKZ" w:eastAsia="ArialKZ"/>
                <w:b w:val="0"/>
                <w:i w:val="0"/>
                <w:color w:val="535353"/>
                <w:sz w:val="20"/>
              </w:rPr>
              <w:t>№ 1(138)/2022</w:t>
            </w:r>
          </w:p>
        </w:tc>
        <w:tc>
          <w:tcPr>
            <w:tcW w:type="dxa" w:w="632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48" w:val="left"/>
                <w:tab w:pos="3986" w:val="left"/>
              </w:tabs>
              <w:autoSpaceDE w:val="0"/>
              <w:widowControl/>
              <w:spacing w:line="245" w:lineRule="auto" w:before="48" w:after="0"/>
              <w:ind w:left="1160" w:right="0" w:firstLine="0"/>
              <w:jc w:val="left"/>
            </w:pP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000000"/>
                <w:sz w:val="17"/>
              </w:rPr>
              <w:t xml:space="preserve">Л.Н. Гумилев атындағы Еуразия ұлттық университетінің ХАБАРШЫСЫ. </w:t>
            </w: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000000"/>
                <w:sz w:val="17"/>
              </w:rPr>
              <w:t>Тарихи ғылымдар. Философия. Дінтану сериясы</w:t>
            </w:r>
            <w:r>
              <w:tab/>
            </w:r>
            <w:r>
              <w:tab/>
            </w: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000000"/>
                <w:sz w:val="17"/>
              </w:rPr>
              <w:t>ISSN: 2616-7255, eISSN: 2663-2489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26" w:right="1232" w:bottom="332" w:left="1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p>
      <w:pPr>
        <w:autoSpaceDN w:val="0"/>
        <w:autoSpaceDE w:val="0"/>
        <w:widowControl/>
        <w:spacing w:line="245" w:lineRule="auto" w:before="278" w:after="0"/>
        <w:ind w:left="10" w:right="20" w:firstLine="0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государств постсоветского пространства за «внимание, консультации и помощь», «замечания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и обмен литературой» и т.д. (с. 10). В довершение к этому в России были опубликованы две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положительные рецензии. Автор первой рецензии доктор исторических наук, профессор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Уфимского юридического института Министерства внутренних дел России Р.Г. Буканова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пишет: «Хорошее оформление книги, сочетание научности с доступностью и безукоризненным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текстом являются залогом того, что книга Бүркітбая Гелманұлы Аяғана «История Улуг Улуса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– Золотой Орды» будет востребована читателями, как Казахстана, так и других сопредельных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стран. Данный труд займет свое достойное место среди фундаментальных изданий по истории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Великой степи» [4, 90–91 с.]. У нас складывается впечатление, что рецензент просто не читал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рецензируемую им книгу. Ровно такое же впечатление оставила вторая рецензия. Ее автор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доктор исторических наук, профессор Евразийского национального университета им. Л.Н.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Гумилева М.А. Алпысбес большую часть своей рецензии посвятил каким-то непонятным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общеисторическим рассуждениям, перепутал названия, последовательность глав и параграфов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рецензируемой книги, приводимые даты в них [5, 321–329 с.]. Умозаключения этого рецензента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об «иге / иие», «монголах / могулах», о каких-то придуманных им концепциях и т.п. требуют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отдельной рецензии, но к сожалению, рецензии на рецензии писать не принято. Приведем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лишь заключение этого автора о книге Аягана: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«Главной особенностью данной книги является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легкий, свободный стиль изложения исторического материала, который носит ясный и ярко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выраженный нарративный характер. При этом издание включает критическое видение истории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и новую концепцию его понимания. При этом, автор как бы приглашает читателя обсудить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излагаемые в разделе вопросы, что особенно важно для учебно-лекционного издания, куда включены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содержательный материал для обучающегося и преподавания дисциплины»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[5, 328 с.]. </w:t>
      </w:r>
    </w:p>
    <w:p>
      <w:pPr>
        <w:autoSpaceDN w:val="0"/>
        <w:autoSpaceDE w:val="0"/>
        <w:widowControl/>
        <w:spacing w:line="245" w:lineRule="auto" w:before="4" w:after="0"/>
        <w:ind w:left="10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Мы намерено так подробно остановились на прежних рецензиях, чтобы показать в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дальнейшем, как далеки эти слова от содержания самой книги. Нам достаточно было бы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привести с десяток грубых ошибок автора, чтобы показать, что перед нами очередная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профанация вместо науки. Однако, чтобы нас не упрекнули в том, что мы предвзяты или не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дочитали книгу до конца [6], мы перечислим основные грубые ошибки выборочно из всей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книги.</w:t>
      </w:r>
    </w:p>
    <w:p>
      <w:pPr>
        <w:autoSpaceDN w:val="0"/>
        <w:autoSpaceDE w:val="0"/>
        <w:widowControl/>
        <w:spacing w:line="245" w:lineRule="auto" w:before="4" w:after="0"/>
        <w:ind w:left="10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В предисловии автор, словно объясняя подзаголовок и жанр своей книги (курс лекций),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рассказывает о работе академика Василия Бартольда – «Двенадцать лекций по истории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турецких народов Средней Азии» [7, 19–192 с.]. Якобы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«истории Орды»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он отвел недостаточно,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всего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«несколько фрагментов»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9). Очевидно, руководствуясь этим посылом, автор решил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«восполнить этот информационный пробел»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9) и написать продолжение классической работы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востоковеда. Как ни парадоксально, но в Казахстане уже были подобные прецеденты  [8, 64 с.]. </w:t>
      </w:r>
    </w:p>
    <w:p>
      <w:pPr>
        <w:autoSpaceDN w:val="0"/>
        <w:autoSpaceDE w:val="0"/>
        <w:widowControl/>
        <w:spacing w:line="245" w:lineRule="auto" w:before="4" w:after="0"/>
        <w:ind w:left="10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Отметим для начала, что Аяган дал этой работе Бартольда несуществующее название (с. 9).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Правильное название мы привели выше. Далее. Поскольку свои лекции Бартольд посвятил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результатам, «достигнутым русской и западноевропейской наукой по истории турецких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народностей» Средней Азии (Туркестана), то и о Золотой Орде он писал главным образом в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контексте истории изучаемого им региона. Даже при этом Бартольд посвятил свою девятую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лекцию монгольским завоеваниям и Золотой Орде [7, 130–144 с.], которая по своей полноте 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научному значению, конечно же, намного превосходит всю рецензируемую нами книгу, хотя 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была опубликована почти сто лет назад в 1927 году, а задумана вообще в конце XIX века [7, 12 с.].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В этой связи о каком развитии казахстанской историографии Золотой Орды можно говорить?</w:t>
      </w:r>
    </w:p>
    <w:p>
      <w:pPr>
        <w:autoSpaceDN w:val="0"/>
        <w:autoSpaceDE w:val="0"/>
        <w:widowControl/>
        <w:spacing w:line="245" w:lineRule="auto" w:before="4" w:after="492"/>
        <w:ind w:left="10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По словам самого автора, его новая книга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«целенаправленно посвящена истории Улуг Улуса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- становлению, развитию и падению этого огромного государства»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10), а в аннотации книги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заявлено, что в ней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«предложены новые концепции и критическое видение истории»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2). Со своей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стороны, изучив книгу, мы не увидели ни новых концепций, никакой-либо научной критики.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3127"/>
        <w:gridCol w:w="3127"/>
        <w:gridCol w:w="3127"/>
      </w:tblGrid>
      <w:tr>
        <w:trPr>
          <w:trHeight w:hRule="exact" w:val="700"/>
        </w:trPr>
        <w:tc>
          <w:tcPr>
            <w:tcW w:type="dxa" w:w="7098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44" w:after="0"/>
              <w:ind w:left="0" w:right="0" w:firstLine="0"/>
              <w:jc w:val="left"/>
            </w:pP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231F20"/>
                <w:sz w:val="17"/>
              </w:rPr>
              <w:t>ВЕСТНИК Евразийского национального университета имени Л.Н. Гумилева.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0" w:right="288" w:firstLine="0"/>
              <w:jc w:val="left"/>
            </w:pP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231F20"/>
                <w:sz w:val="17"/>
              </w:rPr>
              <w:t xml:space="preserve">Серия Исторические науки. Философия. Религиоведение </w:t>
            </w:r>
            <w:r>
              <w:br/>
            </w: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231F20"/>
                <w:sz w:val="17"/>
              </w:rPr>
              <w:t>BULLETIN of  L.N. Gumilyov Eurasian National University. Historical Sciences. Philosophy. Religion Series</w:t>
            </w:r>
          </w:p>
        </w:tc>
        <w:tc>
          <w:tcPr>
            <w:tcW w:type="dxa" w:w="172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40" w:after="0"/>
              <w:ind w:left="318" w:right="0" w:firstLine="0"/>
              <w:jc w:val="left"/>
            </w:pPr>
            <w:r>
              <w:rPr>
                <w:w w:val="97.5108814239502"/>
                <w:rFonts w:ascii="ArialKZ" w:hAnsi="ArialKZ" w:eastAsia="ArialKZ"/>
                <w:b w:val="0"/>
                <w:i w:val="0"/>
                <w:color w:val="535353"/>
                <w:sz w:val="20"/>
              </w:rPr>
              <w:t>№ 1(138)/2022</w:t>
            </w:r>
          </w:p>
        </w:tc>
        <w:tc>
          <w:tcPr>
            <w:tcW w:type="dxa" w:w="484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0" w:after="0"/>
              <w:ind w:left="120" w:right="0" w:firstLine="0"/>
              <w:jc w:val="left"/>
            </w:pPr>
            <w:r>
              <w:rPr>
                <w:rFonts w:ascii="ArialKZ" w:hAnsi="ArialKZ" w:eastAsia="ArialKZ"/>
                <w:b w:val="0"/>
                <w:i w:val="0"/>
                <w:color w:val="000000"/>
                <w:sz w:val="20"/>
              </w:rPr>
              <w:t>203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20" w:right="1232" w:bottom="332" w:left="12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6"/>
        <w:ind w:left="0" w:right="0"/>
      </w:pPr>
    </w:p>
    <w:p>
      <w:pPr>
        <w:autoSpaceDN w:val="0"/>
        <w:autoSpaceDE w:val="0"/>
        <w:widowControl/>
        <w:spacing w:line="245" w:lineRule="auto" w:before="268" w:after="0"/>
        <w:ind w:left="4" w:right="20" w:firstLine="0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Более того, можно однозначно утверждать, что автор создал совершенно антинаучное, вредное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для чтения и совершенно безграмотное произведение. Книга изобилует грубыми ошибками,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искажает исторические факты, является типичным примером недобросовестной и поспешной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работы. В ней перепутаны эпохи, имена, годы военных походов, времена правлений ханов,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их родственные связи и т.п. Более того в книге бесконечно много грамматических ошибок.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Невозможно указать все фактические ошибки в книге Аягана, поскольку их число значительно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превышает число страниц в книге, но мы сделаем усилие и приведем наиболее одиозные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места из книги. Цитаты в кавычках и курсивным шрифтом приводятся дословно, без наших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исправлений, только в особых случаях мы добавляли (sic), затем следует наш комментарий,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который иногда излишний. </w:t>
      </w:r>
    </w:p>
    <w:p>
      <w:pPr>
        <w:autoSpaceDN w:val="0"/>
        <w:autoSpaceDE w:val="0"/>
        <w:widowControl/>
        <w:spacing w:line="245" w:lineRule="auto" w:before="0" w:after="0"/>
        <w:ind w:left="4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1.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«... Улуг Улус, вышедший из недр империи Чингис-хана. Как известно, это государство было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образовано после смерти Чингисхана и Джучи (Жошы, Жолшы) его сыном Бату (Батый) и другими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потомками в середине 30-х-60-х годов XIII века»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13) – неясно, что за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«недра империи»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здесь имеются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в виду. В любом случае, наименование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«Улуг Улус»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(использованное также в титуле книге)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является спорным, поскольку фиксируется в источниках конца 14 века. До этого официальное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название «улус Джучи» указывается у Рашид ад-Дина. Если здесь идет речь об улусе внутри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Монгольской империи, то его основателем нужно называть Чингисхана, а первым правителем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– Джучи. Если же говорить об улусе уже с независимым статусом, то нужно говорить о 60-х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годах XIII века и Берке и Менгу-Тимуре как его первых правителях. Подробнее о названии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государства ниже в пункте № 32.</w:t>
      </w:r>
    </w:p>
    <w:p>
      <w:pPr>
        <w:autoSpaceDN w:val="0"/>
        <w:autoSpaceDE w:val="0"/>
        <w:widowControl/>
        <w:spacing w:line="245" w:lineRule="auto" w:before="0" w:after="0"/>
        <w:ind w:left="4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2.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«Очень много ценной информации содержится в трудах итальянских монахов»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15) – ссылка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на Иоанна де Плано Карпини, кто был итальянцем, и Гийома де Рубрук, кто родился во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французской Фландрии и чьим родным языком был французский.</w:t>
      </w:r>
    </w:p>
    <w:p>
      <w:pPr>
        <w:autoSpaceDN w:val="0"/>
        <w:autoSpaceDE w:val="0"/>
        <w:widowControl/>
        <w:spacing w:line="245" w:lineRule="auto" w:before="0" w:after="0"/>
        <w:ind w:left="4" w:right="0" w:firstLine="284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3.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«Рашид ад-Дин, Ала ад-Дин Ата Мелик Джувейни (Джувайни), китайский монах Ли Жыган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(“Путешествие святого Чанчуна в западные страны”), запечетлели (sic) события конца XIII века»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(с. 15) – Рашид ад-Дин описывает события со второй половины XII века по начало XIV века.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Джувайни закончил свой труд в 1260 году и не мог писать о конце XIII века, поскольку к тому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времени его давно уже не было в живых. Чан-чунь вообще путешествовал к Чингисхану 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обратно в Китай в 1220–1224 годах.</w:t>
      </w:r>
    </w:p>
    <w:p>
      <w:pPr>
        <w:autoSpaceDN w:val="0"/>
        <w:autoSpaceDE w:val="0"/>
        <w:widowControl/>
        <w:spacing w:line="245" w:lineRule="auto" w:before="0" w:after="0"/>
        <w:ind w:left="4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4.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«В “Извлечении по Галицко-Волынской летописи” сообщается, что пришло неслыханное войско,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безбожные маовитяне, называемые “татарами”. Кроме определения некоего политонима, а не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этнонима – “татары”, появляется термин “маовитяне”, который трудно с чем-либо отождествить,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может быть только с “монголами”»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20) – совершенно непонятно, что здесь имеется в виду под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«Извлечениями по Галицко-Волынской летописи»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. Такого источника нет. Есть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«Галицко-Волынская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летопись»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. Моавитяне, а не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«маовитяне»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– это ветхозаветное племя, вероятно, спутанное в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«Галицко-Волынской летописи» с мадианитянами, о вторжении которых пророчествовал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псевдо-Мефодий.</w:t>
      </w:r>
    </w:p>
    <w:p>
      <w:pPr>
        <w:autoSpaceDN w:val="0"/>
        <w:autoSpaceDE w:val="0"/>
        <w:widowControl/>
        <w:spacing w:line="245" w:lineRule="auto" w:before="0" w:after="0"/>
        <w:ind w:left="4" w:right="0" w:firstLine="284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5.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«Татары были активными купцами, поэтому они и лучше запомнились побежденным народам»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(с. 20) – речь здесь идет о периоде экспансии Монгольской империи, поэтому неясно, причем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здесь купцы, и тем более неясно, какие источники упоминают в это время татарских купцов. </w:t>
      </w:r>
    </w:p>
    <w:p>
      <w:pPr>
        <w:autoSpaceDN w:val="0"/>
        <w:autoSpaceDE w:val="0"/>
        <w:widowControl/>
        <w:spacing w:line="245" w:lineRule="auto" w:before="0" w:after="0"/>
        <w:ind w:left="4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6.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«Эпитет “монгол” мог трансформироваться из политического определения “Мәнги Ел”»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20) – зачем приводить голословные и явно надуманные утверждения без всяких ссылок на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источники, филологический анализ и океан исследований по вопросу?</w:t>
      </w:r>
    </w:p>
    <w:p>
      <w:pPr>
        <w:autoSpaceDN w:val="0"/>
        <w:autoSpaceDE w:val="0"/>
        <w:widowControl/>
        <w:spacing w:line="245" w:lineRule="auto" w:before="0" w:after="0"/>
        <w:ind w:left="4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7.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«При подготовке курса лекций автор использовал богатейшую казахскую литературу, до сих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пор совершенно недостаточно введенную в исследуемую тематику»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23) – при этом дана ссылка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на исследования, которые используются повсеместно.</w:t>
      </w:r>
    </w:p>
    <w:p>
      <w:pPr>
        <w:autoSpaceDN w:val="0"/>
        <w:autoSpaceDE w:val="0"/>
        <w:widowControl/>
        <w:spacing w:line="245" w:lineRule="auto" w:before="4" w:after="472"/>
        <w:ind w:left="4" w:right="0" w:firstLine="284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8.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«В то же время, совершенно естественно возникает вопрос: в чем же главная причина подобного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положения, когда ученые Советского Союза, имевшие огромные ресурсы в виде научных центров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5"/>
        <w:gridCol w:w="3125"/>
        <w:gridCol w:w="3125"/>
      </w:tblGrid>
      <w:tr>
        <w:trPr>
          <w:trHeight w:hRule="exact" w:val="704"/>
        </w:trPr>
        <w:tc>
          <w:tcPr>
            <w:tcW w:type="dxa" w:w="50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0" w:right="0" w:firstLine="0"/>
              <w:jc w:val="center"/>
            </w:pPr>
            <w:r>
              <w:rPr>
                <w:rFonts w:ascii="ArialKZ" w:hAnsi="ArialKZ" w:eastAsia="ArialKZ"/>
                <w:b w:val="0"/>
                <w:i w:val="0"/>
                <w:color w:val="000000"/>
                <w:sz w:val="20"/>
              </w:rPr>
              <w:t>204</w:t>
            </w:r>
          </w:p>
        </w:tc>
        <w:tc>
          <w:tcPr>
            <w:tcW w:type="dxa" w:w="252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42" w:after="0"/>
              <w:ind w:left="88" w:right="0" w:firstLine="0"/>
              <w:jc w:val="left"/>
            </w:pPr>
            <w:r>
              <w:rPr>
                <w:w w:val="97.5108814239502"/>
                <w:rFonts w:ascii="ArialKZ" w:hAnsi="ArialKZ" w:eastAsia="ArialKZ"/>
                <w:b w:val="0"/>
                <w:i w:val="0"/>
                <w:color w:val="535353"/>
                <w:sz w:val="20"/>
              </w:rPr>
              <w:t>№ 1(138)/2022</w:t>
            </w:r>
          </w:p>
        </w:tc>
        <w:tc>
          <w:tcPr>
            <w:tcW w:type="dxa" w:w="632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48" w:val="left"/>
                <w:tab w:pos="3986" w:val="left"/>
              </w:tabs>
              <w:autoSpaceDE w:val="0"/>
              <w:widowControl/>
              <w:spacing w:line="245" w:lineRule="auto" w:before="48" w:after="0"/>
              <w:ind w:left="1160" w:right="0" w:firstLine="0"/>
              <w:jc w:val="left"/>
            </w:pP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000000"/>
                <w:sz w:val="17"/>
              </w:rPr>
              <w:t xml:space="preserve">Л.Н. Гумилев атындағы Еуразия ұлттық университетінің ХАБАРШЫСЫ. </w:t>
            </w: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000000"/>
                <w:sz w:val="17"/>
              </w:rPr>
              <w:t>Тарихи ғылымдар. Философия. Дінтану сериясы</w:t>
            </w:r>
            <w:r>
              <w:tab/>
            </w:r>
            <w:r>
              <w:tab/>
            </w: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000000"/>
                <w:sz w:val="17"/>
              </w:rPr>
              <w:t>ISSN: 2616-7255, eISSN: 2663-2489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26" w:right="1232" w:bottom="332" w:left="1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p>
      <w:pPr>
        <w:autoSpaceDN w:val="0"/>
        <w:autoSpaceDE w:val="0"/>
        <w:widowControl/>
        <w:spacing w:line="245" w:lineRule="auto" w:before="278" w:after="0"/>
        <w:ind w:left="6" w:right="0" w:firstLine="0"/>
        <w:jc w:val="left"/>
      </w:pP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целых кафедр, заметно отстали от своих западных коллег на этом пути» (с. 23) –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среди западных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коллег перед этим упоминаются Тойнби, Вамбери и Шпулер: самая поздняя из этих работ была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переиздана в 1963 году. Ср. также: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 «Западные исследователи (А. Тойнби, Б. Шпулер) считали...»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(с. 30). Автор практически не знаком с многочисленными западными исследованиями 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использует именно советские; ср.: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«в целях более полного изложения рассматриваемой темы автор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использовал труды ряда крупных, выдающихся ученых востоковедов СССР»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22).</w:t>
      </w:r>
    </w:p>
    <w:p>
      <w:pPr>
        <w:autoSpaceDN w:val="0"/>
        <w:autoSpaceDE w:val="0"/>
        <w:widowControl/>
        <w:spacing w:line="245" w:lineRule="auto" w:before="4" w:after="0"/>
        <w:ind w:left="6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9.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«В школьном курсе истории или в университетских аудиториях, например, довольно подробно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изучается история Греции, Египта или Китая, Иудейские войны...»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27) – интересно, в каких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школах подробно изучаются Иудейские войны? В Израиле?</w:t>
      </w:r>
    </w:p>
    <w:p>
      <w:pPr>
        <w:autoSpaceDN w:val="0"/>
        <w:autoSpaceDE w:val="0"/>
        <w:widowControl/>
        <w:spacing w:line="245" w:lineRule="auto" w:before="4" w:after="0"/>
        <w:ind w:left="6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10.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«А. Тойнби в своем труде...»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29) – сейчас ссылаются на Тойнби только как на совершенно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устаревшие работы, а здесь приводятся целые цитаты. То же можно сказать о ссылках на Льва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Гумилева, которые часто здесь встречаются.</w:t>
      </w:r>
    </w:p>
    <w:p>
      <w:pPr>
        <w:autoSpaceDN w:val="0"/>
        <w:autoSpaceDE w:val="0"/>
        <w:widowControl/>
        <w:spacing w:line="245" w:lineRule="auto" w:before="4" w:after="0"/>
        <w:ind w:left="6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11.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«Гонзалес Клавихо, долгое время живший при дворе Амир-Тимура в 80-90-е годы XIV века»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29)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– кастильский посол Гонсалес де Клавихо прибыл ко двору Тамерлана в 1404 году и пребывал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там полгода.</w:t>
      </w:r>
    </w:p>
    <w:p>
      <w:pPr>
        <w:autoSpaceDN w:val="0"/>
        <w:tabs>
          <w:tab w:pos="290" w:val="left"/>
        </w:tabs>
        <w:autoSpaceDE w:val="0"/>
        <w:widowControl/>
        <w:spacing w:line="245" w:lineRule="auto" w:before="4" w:after="0"/>
        <w:ind w:left="6" w:right="0" w:firstLine="0"/>
        <w:jc w:val="left"/>
      </w:pPr>
      <w:r>
        <w:tab/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12.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«Внуки Чингис-хана в большинстве своем также стали правоверными мусульманами»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(с. 32) –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среди многочисленных внуков Чингисхана единственным мусульманином был Берке.</w:t>
      </w:r>
    </w:p>
    <w:p>
      <w:pPr>
        <w:autoSpaceDN w:val="0"/>
        <w:autoSpaceDE w:val="0"/>
        <w:widowControl/>
        <w:spacing w:line="245" w:lineRule="auto" w:before="4" w:after="0"/>
        <w:ind w:left="6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13.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«После поражения на Калке (1223 года) земли русских князей, практически все, кроме Новгорода,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стали частью его (Чингис-хана. – К.У., Р.Х.) огромной империи»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41) – Джебе и Субедей даже не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пытались подойти к Киеву, не говоря уже про Владимир-Залесский. Но Аяган уверен, что Русь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была покорена сразу же после битвы на Калке. Ср.: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«Заметим, что по нашему мнению, следовало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начинать этот период (время «монголо-татарского ига»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. – К.У., Р.Х.) с 1223 года» (с. 19).</w:t>
      </w:r>
    </w:p>
    <w:p>
      <w:pPr>
        <w:autoSpaceDN w:val="0"/>
        <w:autoSpaceDE w:val="0"/>
        <w:widowControl/>
        <w:spacing w:line="245" w:lineRule="auto" w:before="4" w:after="0"/>
        <w:ind w:left="6" w:right="0" w:firstLine="284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14.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«Весть об убиистве (sic) послов страшно разгневало (sic) Великого Кагана, отдавшего приказ о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поимке хорезмшаха. Ибн ал-Асир говорит о сражений (sic), который дал (sic) Хорезм-шаху сын Чингис-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хана, видимо это был Джучи. В случившемся сражений (sic) только мусульман погибли (sic) около 20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000, видимо столько же погибло из войск монголо татар (sic). Но после этого сражения была захвачена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Бухара (1220 г.), а затем и Самарканд, где было жестоко перебито городское население. Вскоре был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схвачен на острове и казнен сам хорезмшах»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44) – здесь практически все ошибочно. Битва на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Тургайской равнине произошла в 1216/17 году. Казнь купцов в Отраре имела место в 1218 году.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Бухара была взята, таким образом, не после битвы, а во время полномасштабного вторжения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монгольской армии. Чингисхан послал Джебе и Субедея в погоню за хорезмшахом уже из-под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Самарканда. И наконец, хорезмшах умер своей смертью до того, как его смогли настигнуть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монголы.</w:t>
      </w:r>
    </w:p>
    <w:p>
      <w:pPr>
        <w:autoSpaceDN w:val="0"/>
        <w:autoSpaceDE w:val="0"/>
        <w:widowControl/>
        <w:spacing w:line="245" w:lineRule="auto" w:before="4" w:after="0"/>
        <w:ind w:left="6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15.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«Затем войска Чингис-хан (sic) полностью покорили Кавказ и разбили обьединенное (sic) войско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русских и кипчаков в 1223 году и вошли в Булгар... В Иране и Азербайджане большое сопротивление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войскам монголо-татар оказал Джалал-ад Дин-сын (sic) Хорезмшаха. Но в любом случае, “Западные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армии” в 1219-1224 годы уже покорили эти огромные территории»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(с. 44) – опять же, все неправильно.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Джебе и Субедей не смогли завоевать Грузии и не входили в Булгар. Кроме того, столицей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Волжской Булгарии в то время был Биляр. Джалал ад-Дин оказал значительное сопротивление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монголам в Афганистане и бежал в Индию после поражения на Инде. На Южный Кавказ он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перебрался через несколько лет и перенес туда свой султанат, который существовал до 1231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года: то есть Джебе и Субедей не смогли удержать завоеванные территории после своего ухода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как с Южного Кавказа, так и из половецких степей. Эти территории были завоеваны позже.</w:t>
      </w:r>
    </w:p>
    <w:p>
      <w:pPr>
        <w:autoSpaceDN w:val="0"/>
        <w:autoSpaceDE w:val="0"/>
        <w:widowControl/>
        <w:spacing w:line="245" w:lineRule="auto" w:before="4" w:after="492"/>
        <w:ind w:left="6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16.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«Этот малый курултай, принявший столь важные решения, состоялся скорее всего ближе к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1224 году, потому что в 1224-1225 годах Чингис-хан во главе своих войск покорил тангутов, а затем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отправился в Самарканд, Бухару, Хотан, Хорезм и Тарим»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48) – Аяган совершенно не знаком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с хронологией военных кампаний Чингисхана. Здесь идет речь о соответствующем месте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3125"/>
        <w:gridCol w:w="3125"/>
        <w:gridCol w:w="3125"/>
      </w:tblGrid>
      <w:tr>
        <w:trPr>
          <w:trHeight w:hRule="exact" w:val="700"/>
        </w:trPr>
        <w:tc>
          <w:tcPr>
            <w:tcW w:type="dxa" w:w="7098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44" w:after="0"/>
              <w:ind w:left="0" w:right="0" w:firstLine="0"/>
              <w:jc w:val="left"/>
            </w:pP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231F20"/>
                <w:sz w:val="17"/>
              </w:rPr>
              <w:t>ВЕСТНИК Евразийского национального университета имени Л.Н. Гумилева.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0" w:right="288" w:firstLine="0"/>
              <w:jc w:val="left"/>
            </w:pP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231F20"/>
                <w:sz w:val="17"/>
              </w:rPr>
              <w:t xml:space="preserve">Серия Исторические науки. Философия. Религиоведение </w:t>
            </w:r>
            <w:r>
              <w:br/>
            </w: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231F20"/>
                <w:sz w:val="17"/>
              </w:rPr>
              <w:t>BULLETIN of  L.N. Gumilyov Eurasian National University. Historical Sciences. Philosophy. Religion Series</w:t>
            </w:r>
          </w:p>
        </w:tc>
        <w:tc>
          <w:tcPr>
            <w:tcW w:type="dxa" w:w="172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40" w:after="0"/>
              <w:ind w:left="318" w:right="0" w:firstLine="0"/>
              <w:jc w:val="left"/>
            </w:pPr>
            <w:r>
              <w:rPr>
                <w:w w:val="97.5108814239502"/>
                <w:rFonts w:ascii="ArialKZ" w:hAnsi="ArialKZ" w:eastAsia="ArialKZ"/>
                <w:b w:val="0"/>
                <w:i w:val="0"/>
                <w:color w:val="535353"/>
                <w:sz w:val="20"/>
              </w:rPr>
              <w:t>№ 1(138)/2022</w:t>
            </w:r>
          </w:p>
        </w:tc>
        <w:tc>
          <w:tcPr>
            <w:tcW w:type="dxa" w:w="484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0" w:after="0"/>
              <w:ind w:left="120" w:right="0" w:firstLine="0"/>
              <w:jc w:val="left"/>
            </w:pPr>
            <w:r>
              <w:rPr>
                <w:rFonts w:ascii="ArialKZ" w:hAnsi="ArialKZ" w:eastAsia="ArialKZ"/>
                <w:b w:val="0"/>
                <w:i w:val="0"/>
                <w:color w:val="000000"/>
                <w:sz w:val="20"/>
              </w:rPr>
              <w:t>205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20" w:right="1236" w:bottom="332" w:left="12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6"/>
        <w:ind w:left="0" w:right="0"/>
      </w:pPr>
    </w:p>
    <w:p>
      <w:pPr>
        <w:autoSpaceDN w:val="0"/>
        <w:autoSpaceDE w:val="0"/>
        <w:widowControl/>
        <w:spacing w:line="245" w:lineRule="auto" w:before="268" w:after="0"/>
        <w:ind w:left="4" w:right="20" w:firstLine="0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«Тайной истории монголов», где сыновья Чингисхана в присутствии своего отца сходятся в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решении, что его преемником должен стать Угедей. Это место является поздней вставкой,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но «Тайная история» явно стремится показать, что этот семейный совет (а не курултай) имел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место перед хорезмийской кампанией, то есть в 1219 году. Чингисхан начал кампанию против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тангутов в 1226 году, но не дожил до ее окончания. Поход на Бухару и Самарканд произошел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до кампании против тангутов, в 1220 году!</w:t>
      </w:r>
    </w:p>
    <w:p>
      <w:pPr>
        <w:autoSpaceDN w:val="0"/>
        <w:autoSpaceDE w:val="0"/>
        <w:widowControl/>
        <w:spacing w:line="245" w:lineRule="auto" w:before="0" w:after="0"/>
        <w:ind w:left="4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17.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«Прибывшему первому Хубилаю он («Великий Каган». – К.У., Р.Х.) отвел земли Сартауылов»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48) – речь, разумеется, идет о Чагатае: Хубилай правил значительно позже в Китае и Монголии.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Но Аяган строкой ниже упоминает Чагатая и наделение его Мавераннахром. Вероятно, он не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знает, что сартаулы – это сарты.</w:t>
      </w:r>
    </w:p>
    <w:p>
      <w:pPr>
        <w:autoSpaceDN w:val="0"/>
        <w:autoSpaceDE w:val="0"/>
        <w:widowControl/>
        <w:spacing w:line="245" w:lineRule="auto" w:before="0" w:after="0"/>
        <w:ind w:left="4" w:right="0" w:firstLine="284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18.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«Правда, в ряде случаев, как Роксолана, жена турецкого султана Сулеймана Великолепного,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женщины могли претендовать на власть. Но в Орде таких случаев было ничтожно мало, как правило,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это были регентши, временно управлявшие государством, как Туракина-Хатун после Толе и Огул-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Каймыш после Угедея»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50) – неясно, зачем здесь приводится пример Роксоланы. Как бы то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ни было, Турегене-хатун была регентшей после смерти Угедея, Огул-Каймыш – после смерти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Гуюка в Монгольской империи, не в Золотой Орде.</w:t>
      </w:r>
    </w:p>
    <w:p>
      <w:pPr>
        <w:autoSpaceDN w:val="0"/>
        <w:autoSpaceDE w:val="0"/>
        <w:widowControl/>
        <w:spacing w:line="245" w:lineRule="auto" w:before="0" w:after="0"/>
        <w:ind w:left="4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19.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«По вопросам территории государства имеются свидетельства арабских (Аль-Омари),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персидских (Джувейни) и русских, в том числе советских авторов»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52) – т.е. Борис Греков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и Александр Якубовский являются для Аягана такими же источниками, как ал-Омари 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Джувейни! Такие примеры встречаются в книге неоднократно (с. 152, 161, 170 и др.). Автор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просто не понимает разницы между источником и исследованием, на протяжении всей книги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перечисляя всех общим перечнем, и Рашид ад-Дина, и Якубовского. Здесь же можно отметить,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что для Аягана журнал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«Шора»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(речь о татарском журнале «Шуро», издавался в 1908–1917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годах) и сочинение Ибн Халдуна (1332–1406) идут как равнозначные источники (с. 144, 161).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Любой компетентный современный историк при изучении прошлого всегда отдает приоритет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аутентичным документам, близким к описываемой эпохе. В рецензируемой книге ее автор,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говоря о событиях XIII–XIV веков, зачастую просто пересказывает поздних хронистов второй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половины XVI и XVII веков – Утемиша-хаджи, Кадыргали, Абулгази – считая их сведения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достоверными (с. 39, 46, 55, 68, 71, 81, 90, 142, 144, 161 и др.).</w:t>
      </w:r>
    </w:p>
    <w:p>
      <w:pPr>
        <w:autoSpaceDN w:val="0"/>
        <w:autoSpaceDE w:val="0"/>
        <w:widowControl/>
        <w:spacing w:line="245" w:lineRule="auto" w:before="0" w:after="0"/>
        <w:ind w:left="4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20.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«Весь Ближний Восток – Иран, Курдистан, арабский мир, были подчинены Чагатаем и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Хубилаем»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53) – полностью Иран был подчинен во время кампании Хулагу 1256–1258 года.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Ни Чагатай, ни Хубилай к ней отношения не имеют. Арабский мир, вернее, Сирия и Египет не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были подчинены монголами.</w:t>
      </w:r>
    </w:p>
    <w:p>
      <w:pPr>
        <w:autoSpaceDN w:val="0"/>
        <w:autoSpaceDE w:val="0"/>
        <w:widowControl/>
        <w:spacing w:line="245" w:lineRule="auto" w:before="0" w:after="0"/>
        <w:ind w:left="4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21.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«Кстати, нормы Ясы содержали положение о веротерпимости, чем пользовались христианские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народы Кавказа при защите от мусульманских войск сельджуков, Ирана (Персии) и Египта»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53) – здесь совершеннейшая путаница, которую сложно прокомментировать! Выходит, в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рамках Монгольской империи грузины подвергались нападениям сельджуков и египетских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мамлюков?</w:t>
      </w:r>
    </w:p>
    <w:p>
      <w:pPr>
        <w:autoSpaceDN w:val="0"/>
        <w:autoSpaceDE w:val="0"/>
        <w:widowControl/>
        <w:spacing w:line="245" w:lineRule="auto" w:before="0" w:after="0"/>
        <w:ind w:left="4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22.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«Войска Орды также принимали участие в защите русских земель от тевтонских рыцарей,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когда они помогли князю Александру Невскому (апрель 1242 года)»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53) – участие монголов в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Ледовом побоище – это, по-видимому, сенсационное научное открытие!</w:t>
      </w:r>
    </w:p>
    <w:p>
      <w:pPr>
        <w:autoSpaceDN w:val="0"/>
        <w:tabs>
          <w:tab w:pos="288" w:val="left"/>
        </w:tabs>
        <w:autoSpaceDE w:val="0"/>
        <w:widowControl/>
        <w:spacing w:line="245" w:lineRule="auto" w:before="0" w:after="0"/>
        <w:ind w:left="4" w:right="0" w:firstLine="0"/>
        <w:jc w:val="left"/>
      </w:pPr>
      <w:r>
        <w:tab/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23.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«Несчастная вдова Жаныбека – Тайдула»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54) – Тайдула была матерью Джанибека 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поэтому не могла быть его женой.</w:t>
      </w:r>
    </w:p>
    <w:p>
      <w:pPr>
        <w:autoSpaceDN w:val="0"/>
        <w:autoSpaceDE w:val="0"/>
        <w:widowControl/>
        <w:spacing w:line="245" w:lineRule="auto" w:before="0" w:after="478"/>
        <w:ind w:left="4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24.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«Между тем, военное искусство кочевников, умение за короткие сроки проводить крупные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военные операции не стали объектом масштабных исследований до сих пор»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59) – напротив,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военное дело монголов является наиболее изученной темой. Однако Аягану известны только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сомнительные работы Михаила Иванина (с. 60, 63–65, 106, 152) и Эренжена Хара-Давана (с. 22,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48, 52, 60, 106), на которые он ссылается.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5"/>
        <w:gridCol w:w="3125"/>
        <w:gridCol w:w="3125"/>
      </w:tblGrid>
      <w:tr>
        <w:trPr>
          <w:trHeight w:hRule="exact" w:val="704"/>
        </w:trPr>
        <w:tc>
          <w:tcPr>
            <w:tcW w:type="dxa" w:w="50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0" w:right="0" w:firstLine="0"/>
              <w:jc w:val="center"/>
            </w:pPr>
            <w:r>
              <w:rPr>
                <w:rFonts w:ascii="ArialKZ" w:hAnsi="ArialKZ" w:eastAsia="ArialKZ"/>
                <w:b w:val="0"/>
                <w:i w:val="0"/>
                <w:color w:val="000000"/>
                <w:sz w:val="20"/>
              </w:rPr>
              <w:t>206</w:t>
            </w:r>
          </w:p>
        </w:tc>
        <w:tc>
          <w:tcPr>
            <w:tcW w:type="dxa" w:w="252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42" w:after="0"/>
              <w:ind w:left="88" w:right="0" w:firstLine="0"/>
              <w:jc w:val="left"/>
            </w:pPr>
            <w:r>
              <w:rPr>
                <w:w w:val="97.5108814239502"/>
                <w:rFonts w:ascii="ArialKZ" w:hAnsi="ArialKZ" w:eastAsia="ArialKZ"/>
                <w:b w:val="0"/>
                <w:i w:val="0"/>
                <w:color w:val="535353"/>
                <w:sz w:val="20"/>
              </w:rPr>
              <w:t>№ 1(138)/2022</w:t>
            </w:r>
          </w:p>
        </w:tc>
        <w:tc>
          <w:tcPr>
            <w:tcW w:type="dxa" w:w="632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48" w:val="left"/>
                <w:tab w:pos="3986" w:val="left"/>
              </w:tabs>
              <w:autoSpaceDE w:val="0"/>
              <w:widowControl/>
              <w:spacing w:line="245" w:lineRule="auto" w:before="48" w:after="0"/>
              <w:ind w:left="1160" w:right="0" w:firstLine="0"/>
              <w:jc w:val="left"/>
            </w:pP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000000"/>
                <w:sz w:val="17"/>
              </w:rPr>
              <w:t xml:space="preserve">Л.Н. Гумилев атындағы Еуразия ұлттық университетінің ХАБАРШЫСЫ. </w:t>
            </w: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000000"/>
                <w:sz w:val="17"/>
              </w:rPr>
              <w:t>Тарихи ғылымдар. Философия. Дінтану сериясы</w:t>
            </w:r>
            <w:r>
              <w:tab/>
            </w:r>
            <w:r>
              <w:tab/>
            </w: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000000"/>
                <w:sz w:val="17"/>
              </w:rPr>
              <w:t>ISSN: 2616-7255, eISSN: 2663-2489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26" w:right="1232" w:bottom="332" w:left="1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p>
      <w:pPr>
        <w:autoSpaceDN w:val="0"/>
        <w:autoSpaceDE w:val="0"/>
        <w:widowControl/>
        <w:spacing w:line="245" w:lineRule="auto" w:before="278" w:after="0"/>
        <w:ind w:left="6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25.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«К примеру, в XIII-XIV веках, когда существовала (sic) Орда, военные действия проходили в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Европе, Африке (Египет)...»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59) – монголы не доходили дальше Газы и никогда не были в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Африке. Аяган настойчиво использует понятие «Орда», но мы так и не поняли, что именно он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имеет в виду под этим термином. Может быть, Монгольскую империю? Но в этом случае это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совершенно неправильный термин.</w:t>
      </w:r>
    </w:p>
    <w:p>
      <w:pPr>
        <w:autoSpaceDN w:val="0"/>
        <w:autoSpaceDE w:val="0"/>
        <w:widowControl/>
        <w:spacing w:line="245" w:lineRule="auto" w:before="4" w:after="0"/>
        <w:ind w:left="6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26.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«Одним из ярких примеров военного искусства кочевников стала битва под Легницей ...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Битва произошла весенним утром 9 апреля 1241 года. Войска стояли друг перед другом. Вдруг над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войсками Орды поднялось нечто вроде гигантской головы. Внизу копошились люди, которые надували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многочисленные меха. Вдруг из пасти и ноздрей чудовища брызнули мощные грязно-белые струи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и дымом расстелились над рыцарями ... Затем началась атака конницы, удачно использовались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огнеметы и пушки»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61) – описание битвы при Легнице заимствовано у фантазера Яна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Длугоша, но в крайне вычурной форме. Как бы то ни было, даже Длугошу не пришло в голову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утверждать, что монголы использовали пушки в 1241 году.</w:t>
      </w:r>
    </w:p>
    <w:p>
      <w:pPr>
        <w:autoSpaceDN w:val="0"/>
        <w:autoSpaceDE w:val="0"/>
        <w:widowControl/>
        <w:spacing w:line="245" w:lineRule="auto" w:before="4" w:after="0"/>
        <w:ind w:left="6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27.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«Мы же полагаем, что у Байдара и Кайду войск было не так уж много»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62) – Кайду на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момент монгольского вторжения в Польшу было не больше шести лет от роду, и он не мог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командовать военными действиями в 1241 году.</w:t>
      </w:r>
    </w:p>
    <w:p>
      <w:pPr>
        <w:autoSpaceDN w:val="0"/>
        <w:autoSpaceDE w:val="0"/>
        <w:widowControl/>
        <w:spacing w:line="245" w:lineRule="auto" w:before="4" w:after="0"/>
        <w:ind w:left="6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28.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«Например, как можно было провести большое количество людей на конях и верблюдах в глубь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Европы?»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62) – увы, мы также не можем знать, как монголам удалось вторгнуться в Польшу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на верблюдах в феврале месяце, поскольку сведения об этом в источниках нам не встречались. </w:t>
      </w:r>
    </w:p>
    <w:p>
      <w:pPr>
        <w:autoSpaceDN w:val="0"/>
        <w:autoSpaceDE w:val="0"/>
        <w:widowControl/>
        <w:spacing w:line="245" w:lineRule="auto" w:before="4" w:after="0"/>
        <w:ind w:left="6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29.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«После победы под Легницей путь войскам Улуг Улуса в Европу был совершенно открыт ...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Но войска Орды по приказу Бату вдруг прекратили наступление и направилась (sic) в Венгрию.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Здесь они нанесли тяжелое поражение армии венгерского Короля Белы IV»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62) – здесь, если мы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не ошибаемся, под Ордой имеется в виду старший брат Бату. Описание военных действий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здесь также приводится под конкретным влиянием Длугоша, который ошибочно полагал,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что монголы вторглись в Венгрию только после нападения на Польшу и победы при Легнице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(этот ошибочный маршрут также отобразился на карте на с. 57). На самом деле, Бату вторгся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в Венгрию через Верецкий перевал параллельно или, вернее, чуть позже вторжения Орды 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Байдара в Польшу. Войска Орды не могли участвовать в битве на Шайо в Венгрии, поскольку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за два дня до этой битвы они находились в Силезии.</w:t>
      </w:r>
    </w:p>
    <w:p>
      <w:pPr>
        <w:autoSpaceDN w:val="0"/>
        <w:autoSpaceDE w:val="0"/>
        <w:widowControl/>
        <w:spacing w:line="245" w:lineRule="auto" w:before="4" w:after="0"/>
        <w:ind w:left="6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30.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«Но затем после блистательных побед армия Бату (в советниках у него был непобедимый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Субэдей) отказалась от дальнейшего продвижения в Европу. У Днепра (река Узи) скончался Субэдей,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где и был похоронен. Существует много версий, почему Бату прекратил дальнейший поход ... мы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полагаем, что военачальники Бату уже увидели поверженные города Европы, многие из них были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грязными, особых богатств тоже нет. Имущие слои скорее всего, уже убежали»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62) – выходит,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чистоплотные монголы предпочитали избегать грязных городов Европы? Куда бежали имущие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слои, скажем, Парижа, тоже неясно. Биография Субедея в «Юань ши» свидетельствует, что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Субедей скончался в Монголии в 1248 году, через шесть лет после окончания Западного похода.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Монголы ушли из Венгрии не сразу после битвы на Шайо, но оставались там еще почти год. В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конце января 1242 года им удалось перейти Дунай по льду, и они взяли Эстергом, но не смогли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захватить его цитадели. Осада Секешфехервара оказалась неудачной, и Кадан даже не смог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взять бенедиктинского аббатства Паннонхальма. Далее Кадан переместился в Далмацию, но не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смог взять там ни одной крепости. Монгольская армия, разумеется, была на тот момент самой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сильной в мире, но сталкивалась и с неудачами.</w:t>
      </w:r>
    </w:p>
    <w:p>
      <w:pPr>
        <w:autoSpaceDN w:val="0"/>
        <w:autoSpaceDE w:val="0"/>
        <w:widowControl/>
        <w:spacing w:line="245" w:lineRule="auto" w:before="4" w:after="492"/>
        <w:ind w:left="6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31.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«Джелал ад-Дин, что интересно, долго жил и сумел найти общий язык с некоторыми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джучидами»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101) – в тексте книги нет ссылки на источник, поэтому не ясно откуда у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автора такая информация. Джалал ад-Дин не нашел общий язык с монголами и тем более с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Джучидами, он воевал с ними. И прожил он недолго, умер в возрасте 30 лет. Об этом подробно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3125"/>
        <w:gridCol w:w="3125"/>
        <w:gridCol w:w="3125"/>
      </w:tblGrid>
      <w:tr>
        <w:trPr>
          <w:trHeight w:hRule="exact" w:val="700"/>
        </w:trPr>
        <w:tc>
          <w:tcPr>
            <w:tcW w:type="dxa" w:w="7098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44" w:after="0"/>
              <w:ind w:left="0" w:right="0" w:firstLine="0"/>
              <w:jc w:val="left"/>
            </w:pP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231F20"/>
                <w:sz w:val="17"/>
              </w:rPr>
              <w:t>ВЕСТНИК Евразийского национального университета имени Л.Н. Гумилева.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0" w:right="288" w:firstLine="0"/>
              <w:jc w:val="left"/>
            </w:pP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231F20"/>
                <w:sz w:val="17"/>
              </w:rPr>
              <w:t xml:space="preserve">Серия Исторические науки. Философия. Религиоведение </w:t>
            </w:r>
            <w:r>
              <w:br/>
            </w: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231F20"/>
                <w:sz w:val="17"/>
              </w:rPr>
              <w:t>BULLETIN of  L.N. Gumilyov Eurasian National University. Historical Sciences. Philosophy. Religion Series</w:t>
            </w:r>
          </w:p>
        </w:tc>
        <w:tc>
          <w:tcPr>
            <w:tcW w:type="dxa" w:w="172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40" w:after="0"/>
              <w:ind w:left="318" w:right="0" w:firstLine="0"/>
              <w:jc w:val="left"/>
            </w:pPr>
            <w:r>
              <w:rPr>
                <w:w w:val="97.5108814239502"/>
                <w:rFonts w:ascii="ArialKZ" w:hAnsi="ArialKZ" w:eastAsia="ArialKZ"/>
                <w:b w:val="0"/>
                <w:i w:val="0"/>
                <w:color w:val="535353"/>
                <w:sz w:val="20"/>
              </w:rPr>
              <w:t>№ 1(138)/2022</w:t>
            </w:r>
          </w:p>
        </w:tc>
        <w:tc>
          <w:tcPr>
            <w:tcW w:type="dxa" w:w="484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0" w:after="0"/>
              <w:ind w:left="120" w:right="0" w:firstLine="0"/>
              <w:jc w:val="left"/>
            </w:pPr>
            <w:r>
              <w:rPr>
                <w:rFonts w:ascii="ArialKZ" w:hAnsi="ArialKZ" w:eastAsia="ArialKZ"/>
                <w:b w:val="0"/>
                <w:i w:val="0"/>
                <w:color w:val="000000"/>
                <w:sz w:val="20"/>
              </w:rPr>
              <w:t>207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20" w:right="1236" w:bottom="332" w:left="12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6"/>
        <w:ind w:left="0" w:right="0"/>
      </w:pPr>
    </w:p>
    <w:p>
      <w:pPr>
        <w:autoSpaceDN w:val="0"/>
        <w:autoSpaceDE w:val="0"/>
        <w:widowControl/>
        <w:spacing w:line="245" w:lineRule="auto" w:before="268" w:after="0"/>
        <w:ind w:left="4" w:right="0" w:firstLine="0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пишет в своей книге Зия Буниятов на которую ссылается Аяган (с. 102), но которую, судя по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всему, он не читал.</w:t>
      </w:r>
    </w:p>
    <w:p>
      <w:pPr>
        <w:autoSpaceDN w:val="0"/>
        <w:autoSpaceDE w:val="0"/>
        <w:widowControl/>
        <w:spacing w:line="245" w:lineRule="auto" w:before="4" w:after="0"/>
        <w:ind w:left="4" w:right="0" w:firstLine="282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32.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«Во-вторых, принцип горизонтальный, так как в различные периоды менялся и состав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сообществ или орд, и даже ханств – Ак Орда, Кок Орда, Крымское ханство, например, которое было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в составе Алтын Орды»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106) – здесь, как и во всей книге, предложение построено совершенно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безграмотно. Непонятно, кто был в составе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«Алтын Орды»?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По мнению одних историков,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Ак-Орда и Кок-Орда это правое и левое крылья Улуса Джучи. По мнению других, это два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самостоятельных государства, по мнению третьих, это названия юрт, которые поставил Чингис-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хан своим внукам. А Крымское ханство вообще образовалось после распада Улуса Джучи и не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могло быть в составе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«Алтын Орды»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. Автор небрежен на протяжении всей книги с названиями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этого средневекового государства. Например, он ошибочно полагает, что название Улуг Улус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«автохтонное название»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10), без объяснения причин использует разные названия для одного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и того же государства. Он пишет: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«Прежний Улуг Улус в источниках все больше называют «Алтын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Ордой»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148). В каких? Вдруг Золотая Орда становится Большой Ордой: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«а в Золотой Орде, или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лучше сказать, в Большой Орде»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167), но ведь это разные государства. А в каких источниках автор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увидел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«расплывчатое название» «Узбекская степь»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168–169)? В источниках есть термин «Улус-и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Узбек» (Узбекский Улус) и др., но мы не встречали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«Дашт-и Узбек»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(«Узбекская степь»), может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следовало указать источник? Нижеследующий пассаж автора выдуман от начала до конца: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«Но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период жизни и гибели хана Барака примечательно (sic) еще и тем, что в 20-е годы определение «Улуг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Улус» уже совершенно исчезает из лексикона пищущих (sic). Вместо него окончательно используются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выражения «Алтын Орда», «Ак Орда», какое-то время «Улкен» (Большая Орда), или ханство такого-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то правителя»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172).</w:t>
      </w:r>
    </w:p>
    <w:p>
      <w:pPr>
        <w:autoSpaceDN w:val="0"/>
        <w:autoSpaceDE w:val="0"/>
        <w:widowControl/>
        <w:spacing w:line="245" w:lineRule="auto" w:before="4" w:after="0"/>
        <w:ind w:left="4" w:right="20" w:firstLine="282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33.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«Б. Шпулер также упоминает волжских булгар, башкир и мордву-мокша, стоящих на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одинаковой ступени развития с монголо-татарами»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106) – автор не указал страницу книги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Бертольда Шпулера, на которой говорится о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«ступенях развития»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. Подозреваем, что это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домыслил сам автор рецензируемой книги.</w:t>
      </w:r>
    </w:p>
    <w:p>
      <w:pPr>
        <w:autoSpaceDN w:val="0"/>
        <w:autoSpaceDE w:val="0"/>
        <w:widowControl/>
        <w:spacing w:line="245" w:lineRule="auto" w:before="4" w:after="0"/>
        <w:ind w:left="4" w:right="20" w:firstLine="282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34.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«В Италии спешно составлялись подробные географические карты и маршруты. В истории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они известны, как «карты Фра Мауро»...  уже в XXI веке по заказу Министерства культуры и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спорта Республики Казахстана часть карт была извлечена из архивов Венеции доктором Рафисом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Абазовым (США) и сейчас их можно увидеть в электронных ресурсах»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108) – карта Фра Мауро,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а не «карты», следует писать в единственном числе. Автор этого не знает, поскольку он, как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пишет ранее,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«широко использовал карты венецианских фондов, получивших общее название “Карты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Фра Мауро”»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(с. 22). Такого фонда карт не существует. Карта Фра Мауро – это одна карта, а не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фонд карт. Ссылаться на авторитет Абазова здесь совершенно неприемлемо, поскольку этот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автор абсолютно не компетентен в вопросах картографии, что показали российские историки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и картографы в специальной статье «Сказ о том, как адъюнкт-профессор на карте XV в. Алматы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нашел» [9, 181–205 с.].</w:t>
      </w:r>
    </w:p>
    <w:p>
      <w:pPr>
        <w:autoSpaceDN w:val="0"/>
        <w:autoSpaceDE w:val="0"/>
        <w:widowControl/>
        <w:spacing w:line="245" w:lineRule="auto" w:before="4" w:after="488"/>
        <w:ind w:left="4" w:right="0" w:firstLine="282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35.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«Разгром Амир-Тимуром поволжских городов, особенно Сарай-Бату и Сарай-Берке, а также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последующие нападения уже в XVIII-XIX веках привели к полному уничтожению библиотек,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канцелярских книг, закладных, которые копились в хранилищах. Еще в новейшее время находили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остатки древних рукописей в этих городищах, как сообщает Т.И. Султанов»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(с. 115) – верный своей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методике Аяган не указал своих источников, но осмелимся возразить: во-первых, никаких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нападений на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«поволжские города, особенно Сарай-Бату и Сарай-Берке» «в XVIII-XIX веках»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никто не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совершал по той простой причине, что этих городов в эти века не существовало и все эти земли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были в составе Российской империи; во-вторых,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«в этих городищах остатки древних рукописей»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не находили. Да, остатки материальной культуры находят и по сей день, поскольку там ведутся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археологические раскопки, но это другое. И еще, доктор исторических наук, профессор СПбГУ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5"/>
        <w:gridCol w:w="3125"/>
        <w:gridCol w:w="3125"/>
      </w:tblGrid>
      <w:tr>
        <w:trPr>
          <w:trHeight w:hRule="exact" w:val="704"/>
        </w:trPr>
        <w:tc>
          <w:tcPr>
            <w:tcW w:type="dxa" w:w="50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0" w:right="0" w:firstLine="0"/>
              <w:jc w:val="center"/>
            </w:pPr>
            <w:r>
              <w:rPr>
                <w:rFonts w:ascii="ArialKZ" w:hAnsi="ArialKZ" w:eastAsia="ArialKZ"/>
                <w:b w:val="0"/>
                <w:i w:val="0"/>
                <w:color w:val="000000"/>
                <w:sz w:val="20"/>
              </w:rPr>
              <w:t>208</w:t>
            </w:r>
          </w:p>
        </w:tc>
        <w:tc>
          <w:tcPr>
            <w:tcW w:type="dxa" w:w="252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42" w:after="0"/>
              <w:ind w:left="88" w:right="0" w:firstLine="0"/>
              <w:jc w:val="left"/>
            </w:pPr>
            <w:r>
              <w:rPr>
                <w:w w:val="97.5108814239502"/>
                <w:rFonts w:ascii="ArialKZ" w:hAnsi="ArialKZ" w:eastAsia="ArialKZ"/>
                <w:b w:val="0"/>
                <w:i w:val="0"/>
                <w:color w:val="535353"/>
                <w:sz w:val="20"/>
              </w:rPr>
              <w:t>№ 1(138)/2022</w:t>
            </w:r>
          </w:p>
        </w:tc>
        <w:tc>
          <w:tcPr>
            <w:tcW w:type="dxa" w:w="632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48" w:val="left"/>
                <w:tab w:pos="3986" w:val="left"/>
              </w:tabs>
              <w:autoSpaceDE w:val="0"/>
              <w:widowControl/>
              <w:spacing w:line="245" w:lineRule="auto" w:before="48" w:after="0"/>
              <w:ind w:left="1160" w:right="0" w:firstLine="0"/>
              <w:jc w:val="left"/>
            </w:pP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000000"/>
                <w:sz w:val="17"/>
              </w:rPr>
              <w:t xml:space="preserve">Л.Н. Гумилев атындағы Еуразия ұлттық университетінің ХАБАРШЫСЫ. </w:t>
            </w: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000000"/>
                <w:sz w:val="17"/>
              </w:rPr>
              <w:t>Тарихи ғылымдар. Философия. Дінтану сериясы</w:t>
            </w:r>
            <w:r>
              <w:tab/>
            </w:r>
            <w:r>
              <w:tab/>
            </w: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000000"/>
                <w:sz w:val="17"/>
              </w:rPr>
              <w:t>ISSN: 2616-7255, eISSN: 2663-2489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26" w:right="1232" w:bottom="332" w:left="1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p>
      <w:pPr>
        <w:autoSpaceDN w:val="0"/>
        <w:autoSpaceDE w:val="0"/>
        <w:widowControl/>
        <w:spacing w:line="245" w:lineRule="auto" w:before="278" w:after="0"/>
        <w:ind w:left="10" w:right="0" w:firstLine="0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Т.И. Султанов много писал о средневековых восточных мусульманских рукописях, но мы не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уверены, что он писал подобное [10].</w:t>
      </w:r>
    </w:p>
    <w:p>
      <w:pPr>
        <w:autoSpaceDN w:val="0"/>
        <w:autoSpaceDE w:val="0"/>
        <w:widowControl/>
        <w:spacing w:line="245" w:lineRule="auto" w:before="4" w:after="0"/>
        <w:ind w:left="10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36.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«История городов прежних лет тесно связана с историческими событиями эпохи правления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Джучи и Золотой Орды»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117) – не совсем верно построенное предложение, поэтому не понятна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ошибочная мысль автора. Развитие южно-казахстанских городов никак не связано с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«эпохой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правления Джучи»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, поскольку он их завоевывал и разрушал, да и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«эпохи правления»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как таковой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не было: Джучи вместе с другими сыновьями Чингис-хана в составе армии монголов пришел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на территорию Южного Казахстана в 1219 году, умер в 1225 году. О каком его правлении может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быть речь, если все эти годы продолжались военные действия?</w:t>
      </w:r>
    </w:p>
    <w:p>
      <w:pPr>
        <w:autoSpaceDN w:val="0"/>
        <w:autoSpaceDE w:val="0"/>
        <w:widowControl/>
        <w:spacing w:line="245" w:lineRule="auto" w:before="4" w:after="0"/>
        <w:ind w:left="10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37.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«Как подчеркивает К.А. Пищулина, присырдарьинские города играли в жизни региона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многозначную роль»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121) – Клавдия Пищулина много писала о присырдарьинских городах 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их значении в истории Казахского ханства, но о такой роли она не могла написать, поскольку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«многозначным»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бывает корень или суффикс, но не роль городов. </w:t>
      </w:r>
    </w:p>
    <w:p>
      <w:pPr>
        <w:autoSpaceDN w:val="0"/>
        <w:autoSpaceDE w:val="0"/>
        <w:widowControl/>
        <w:spacing w:line="245" w:lineRule="auto" w:before="4" w:after="492"/>
        <w:ind w:left="10" w:right="0" w:firstLine="284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38. Раздел книги об Урус-хане это одна большая ошибка, но мы все же постараемся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вычленить самые яркие «научные открытия»: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«Ак Орда при правлении Мубарак-хана - деда Урус-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хана»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133) – он мог быть дядей Урус-хана, но никак не дедом.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«… Урус-хан (Ак-нияз) правил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Золотой Ордой в 1368-1377 годы… Из источника известно, что молодой Урус-хан в 1377 году захватил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Сарай и заставил хана Арабшаха-потомка Шибана(Шейбана) бежать во владения князя Тагая»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135) – здесь автор сам себе противоречит. Урус-хана не звали Ак-нияз, он не правил в эти годы в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Золотой Орде и тем более не мог захватить Сарай в 1377 году, так как был на берегу Сырдарьи.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Еще, он умер в этом 1377 году совсем немолодым.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«Урус-хан - сын (внук) Чимтая»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135) – он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сын Чимтая, не внук.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«Хан Жаныбек умер в 1357 году, значит Урус-хан правил или воевал в Орде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довольно долго»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135) – как одно связано с другим? Джанибек-хан правил в Сарае на Волге.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Урус-хан пришел к власти в 1360-е годы на Сырдарье, за несколько тысяч км.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«Урус-хан стал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ханом Золотой Орды в 1361 году после отказа стать ханом Чимтая, его родного отца (деда). Урус-хан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мог быть даже усыновлен дедом, почему его иногда называют сыном Чимтая. Таких случаев в степи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было много»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136) – это вообще зачем написано? Он сын Чимтая, стал ханом не в Золотой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Орде, а в Сыгнаке. Неважно, много ли случаев усыновления было в степи, здесь такие познания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автора неуместны.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«ал-Кашканди»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136) – нет такого средневекового арабского историка. Есть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известный мамлюкский ученый ал-Кашкашанди из одноименного селения.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«Уже позже А.И.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Левшин напишет, что настоящее имя Уруса по рождению было Акнияз, а мусульманское, второе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имя - Мухаммед. Мы же полагаем, что имя Урус (не от Орыс) означает воинственный, сварлиый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и конфликтный»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136) – Левшин такого не писал [11, 147 с.]. Автор видимо хотел написать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«сварлиВый»?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Можно было не изобретать велосипед, достаточно было прочесть специальную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литературу, где об имени Урус-хана и его значении давно и подробно все написано.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«Один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из самых компетентных исследователей династии казахских ханов С.И. Турсунов со ссылкой на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«Таварих-и гузида-и-Нусрат-нама» сообщает… Эти же сведения повторяет Стэнли-Лэн-Пуль в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своих «Мусульманских династиях»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137) – здесь автор книги все исказил. Вполне очевидно, что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речь идет о Турсуне Икрамовиче Султанове, но если это так, то на указанной странице книги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«Поднятые на белой кошме. Потомки Чингиз-хана» Султанов ссылается не на «Таварих-и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гузида-йи нусрат-наме» (пишется так), а на «Муизз ал-ансаб» [12, 118 с.]. Если быть точнее,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востоковед Султанов ссылается на общеизвестный сборник Владимира Тизенгаузена, а там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– текст «Муизз ал-ансаб». Аяган же, не будучи специалистом по истории Золотой Орды, не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смог разобраться во всех этих хитросплетениях восточного источниковедения. И еще: Стенли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Лейн-Пул издал свою знаменитую книгу в 1894 году и умер в 1931 году. Он не мог физически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«повторять»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за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«С.И. Турсыновым»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. Профессор Турсун Султанов в год издания книги Аягана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отметил 80-летний юбилей, он по прежнему бодр и творчески активен [13].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«Но в 1378 году или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3127"/>
        <w:gridCol w:w="3127"/>
        <w:gridCol w:w="3127"/>
      </w:tblGrid>
      <w:tr>
        <w:trPr>
          <w:trHeight w:hRule="exact" w:val="700"/>
        </w:trPr>
        <w:tc>
          <w:tcPr>
            <w:tcW w:type="dxa" w:w="7098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44" w:after="0"/>
              <w:ind w:left="0" w:right="0" w:firstLine="0"/>
              <w:jc w:val="left"/>
            </w:pP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231F20"/>
                <w:sz w:val="17"/>
              </w:rPr>
              <w:t>ВЕСТНИК Евразийского национального университета имени Л.Н. Гумилева.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0" w:right="288" w:firstLine="0"/>
              <w:jc w:val="left"/>
            </w:pP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231F20"/>
                <w:sz w:val="17"/>
              </w:rPr>
              <w:t xml:space="preserve">Серия Исторические науки. Философия. Религиоведение </w:t>
            </w:r>
            <w:r>
              <w:br/>
            </w: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231F20"/>
                <w:sz w:val="17"/>
              </w:rPr>
              <w:t>BULLETIN of  L.N. Gumilyov Eurasian National University. Historical Sciences. Philosophy. Religion Series</w:t>
            </w:r>
          </w:p>
        </w:tc>
        <w:tc>
          <w:tcPr>
            <w:tcW w:type="dxa" w:w="172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40" w:after="0"/>
              <w:ind w:left="318" w:right="0" w:firstLine="0"/>
              <w:jc w:val="left"/>
            </w:pPr>
            <w:r>
              <w:rPr>
                <w:w w:val="97.5108814239502"/>
                <w:rFonts w:ascii="ArialKZ" w:hAnsi="ArialKZ" w:eastAsia="ArialKZ"/>
                <w:b w:val="0"/>
                <w:i w:val="0"/>
                <w:color w:val="535353"/>
                <w:sz w:val="20"/>
              </w:rPr>
              <w:t>№ 1(138)/2022</w:t>
            </w:r>
          </w:p>
        </w:tc>
        <w:tc>
          <w:tcPr>
            <w:tcW w:type="dxa" w:w="484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0" w:after="0"/>
              <w:ind w:left="120" w:right="0" w:firstLine="0"/>
              <w:jc w:val="left"/>
            </w:pPr>
            <w:r>
              <w:rPr>
                <w:rFonts w:ascii="ArialKZ" w:hAnsi="ArialKZ" w:eastAsia="ArialKZ"/>
                <w:b w:val="0"/>
                <w:i w:val="0"/>
                <w:color w:val="000000"/>
                <w:sz w:val="20"/>
              </w:rPr>
              <w:t>209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20" w:right="1232" w:bottom="332" w:left="12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6"/>
        <w:ind w:left="0" w:right="0"/>
      </w:pPr>
    </w:p>
    <w:p>
      <w:pPr>
        <w:autoSpaceDN w:val="0"/>
        <w:autoSpaceDE w:val="0"/>
        <w:widowControl/>
        <w:spacing w:line="245" w:lineRule="auto" w:before="268" w:after="0"/>
        <w:ind w:left="4" w:right="0" w:firstLine="0"/>
        <w:jc w:val="left"/>
      </w:pP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несколько раньше неожиданно погибает (умирает?) Урус-хан» (с. 140) – мы затрудняемся ответить,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мог ли Урус погибнуть, не умирая? «Речь, видимо, идет о событиях 1378 года, так как Урус-хан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был похоронен в этом году в Сыгнаке. Таким образом, мы предполагаем, что предок казахских ханов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похоронен у Сыгнака»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140);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«…великий воин Урус-хан (Акнияз) был похоронен в городе Сыгнак»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(с. 142) – у специалистов нет таких данных. Видимо следует поверить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«предположению»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автора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книги, причем совершенно необоснованному. А еще Урус-хан был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«ругливым»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137). Будущим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биографам Аягана следует составить список его новых занимательных словообразований.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Автор совершенно не знает, как переводить даты хиджры на европейское летоисчисление.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Хотелось бы подсказать, что существуют специальные хронологические таблицы. 763–782 гг.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хиджры это не 1361–1390 годы, а 719 год хиджры это не 1377–1378 годы (с. 138). </w:t>
      </w:r>
    </w:p>
    <w:p>
      <w:pPr>
        <w:autoSpaceDN w:val="0"/>
        <w:autoSpaceDE w:val="0"/>
        <w:widowControl/>
        <w:spacing w:line="245" w:lineRule="auto" w:before="0" w:after="0"/>
        <w:ind w:left="4" w:right="0" w:firstLine="284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39.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«Войска Токтамыса подошли к Кремлю 23 августа. Началось взятие города... Ворота были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открыты… Мусульманские источники сообщают, что повального грабежа не было, а наказывали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бунтовщиков… поджигала эти дома сама беднота, оставшаяся без присмотра»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147–148) –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совершенно невразумительная дезинформация читателей. Токтамыш обманом проник в город,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устроил резню, сжег город. Нам неизвестны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«мусульманские источники», сообщающие о том,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что «повального грабежа не было»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, но видимо, их нет. Интересна причина, по которой Токтамыш,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по мнению Аягана, совершил свой набег на Москву: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«…эти набеги больше производились от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отчаяния, нежели были естественными мерами»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149). Вот если бы Токтамыш предложил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русским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«более привлекательную программу» «эффективную модель отношений, более передовую»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(с. 149), они бы не бунтовали. Видимо кто-то из них был отсталым, и Токтамыш решил их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«продать»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149, 157).</w:t>
      </w:r>
    </w:p>
    <w:p>
      <w:pPr>
        <w:autoSpaceDN w:val="0"/>
        <w:autoSpaceDE w:val="0"/>
        <w:widowControl/>
        <w:spacing w:line="245" w:lineRule="auto" w:before="0" w:after="0"/>
        <w:ind w:left="4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40.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«Амир-Тимур… готовил в это время поход на Китай, где правили потомки Хубилая»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(с.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159) – потомки Хубилая в виде династии Юань (как говорил киногерой, «в виде поэзии»)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были изгнаны из Китая в 1368 году. Тимур знал об этом хорошо, поскольку переписывался с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правителями империи Мин, пришедшей на смену империи Юань, но почему этого не знает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Аяган? Можем посоветовать ознакомиться с работой Клары Хафизовой, в которой, например,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опубликовано «письмо эмира Тимура минскому императору Чжу Юаньчжану» от 1394 года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[14, 34–35 с.].</w:t>
      </w:r>
    </w:p>
    <w:p>
      <w:pPr>
        <w:autoSpaceDN w:val="0"/>
        <w:autoSpaceDE w:val="0"/>
        <w:widowControl/>
        <w:spacing w:line="245" w:lineRule="auto" w:before="0" w:after="0"/>
        <w:ind w:left="4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41. Очень интересна методика работы автора с литературой: по всей книге проскальзывает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антирусская антисоветская позиция автора, но при этом в книге десятки и десятки упоминаний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советских историков Александра Якубовского, Магомета Сафаргалиева. Причем первый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упоминается так: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«авторы монографий «Золотая Орда и ее падение»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75, 77, 82, 87, 108, 110, 111,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121, 128, 129, 138, 152, 153, 159, 161, 162, 172). Аяган использует литературу исключительно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на русском и немного на казахском языках (с. 217–222), а с «западной» литературой знаком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только по переводам на русский язык. Например, в книге более трех десятков раз упоминается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немецкий историк Бертольд Шпулер, который, оказывается,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«с немецкой педантичностью»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60),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«с немецкой точностью»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97)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«ошибается»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103) – при этом ошибочность не доказана,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аргументов и ссылок на источники нет. Столь частое обращение к работе немецкого востоковеда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объясняется просто – есть ее перевод на русский язык, сделанный татарским историком Маратом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Гатиным [15]. Среди заслуживающих доверие источников в книге называется энциклопедия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Брокгауза и Эфрона (с. 106, 151), а Арнольд Тойнби специализируется на эпохе Тимура!? (с.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159–160). Казахстанский историк Зардыхан Кинаятулы с подачи Аягана превратился в «Кинаят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Зардыханулы» (с. 46).</w:t>
      </w:r>
    </w:p>
    <w:p>
      <w:pPr>
        <w:autoSpaceDN w:val="0"/>
        <w:autoSpaceDE w:val="0"/>
        <w:widowControl/>
        <w:spacing w:line="245" w:lineRule="auto" w:before="0" w:after="478"/>
        <w:ind w:left="4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42. Автор переврал сноски (с. 138), придумал несуществующий обычай (с. 139), исказил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имена (с. 139), ссылается на несуществующие казахские предания (с. 138, 143). По-новому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перевел термин гурган – как проницательный, далеко видящий (с. 153), руками Тимура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построил какую-то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«башню»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в Улытау (с. 156) и приписал Едигею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«восстановление»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Ногайской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Орды (с. 161).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5"/>
        <w:gridCol w:w="3125"/>
        <w:gridCol w:w="3125"/>
      </w:tblGrid>
      <w:tr>
        <w:trPr>
          <w:trHeight w:hRule="exact" w:val="704"/>
        </w:trPr>
        <w:tc>
          <w:tcPr>
            <w:tcW w:type="dxa" w:w="50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0" w:right="0" w:firstLine="0"/>
              <w:jc w:val="center"/>
            </w:pPr>
            <w:r>
              <w:rPr>
                <w:rFonts w:ascii="ArialKZ" w:hAnsi="ArialKZ" w:eastAsia="ArialKZ"/>
                <w:b w:val="0"/>
                <w:i w:val="0"/>
                <w:color w:val="000000"/>
                <w:sz w:val="20"/>
              </w:rPr>
              <w:t>210</w:t>
            </w:r>
          </w:p>
        </w:tc>
        <w:tc>
          <w:tcPr>
            <w:tcW w:type="dxa" w:w="252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42" w:after="0"/>
              <w:ind w:left="88" w:right="0" w:firstLine="0"/>
              <w:jc w:val="left"/>
            </w:pPr>
            <w:r>
              <w:rPr>
                <w:w w:val="97.5108814239502"/>
                <w:rFonts w:ascii="ArialKZ" w:hAnsi="ArialKZ" w:eastAsia="ArialKZ"/>
                <w:b w:val="0"/>
                <w:i w:val="0"/>
                <w:color w:val="535353"/>
                <w:sz w:val="20"/>
              </w:rPr>
              <w:t>№ 1(138)/2022</w:t>
            </w:r>
          </w:p>
        </w:tc>
        <w:tc>
          <w:tcPr>
            <w:tcW w:type="dxa" w:w="632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48" w:val="left"/>
                <w:tab w:pos="3986" w:val="left"/>
              </w:tabs>
              <w:autoSpaceDE w:val="0"/>
              <w:widowControl/>
              <w:spacing w:line="245" w:lineRule="auto" w:before="48" w:after="0"/>
              <w:ind w:left="1160" w:right="0" w:firstLine="0"/>
              <w:jc w:val="left"/>
            </w:pP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000000"/>
                <w:sz w:val="17"/>
              </w:rPr>
              <w:t xml:space="preserve">Л.Н. Гумилев атындағы Еуразия ұлттық университетінің ХАБАРШЫСЫ. </w:t>
            </w: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000000"/>
                <w:sz w:val="17"/>
              </w:rPr>
              <w:t>Тарихи ғылымдар. Философия. Дінтану сериясы</w:t>
            </w:r>
            <w:r>
              <w:tab/>
            </w:r>
            <w:r>
              <w:tab/>
            </w: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000000"/>
                <w:sz w:val="17"/>
              </w:rPr>
              <w:t>ISSN: 2616-7255, eISSN: 2663-2489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26" w:right="1232" w:bottom="332" w:left="1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p>
      <w:pPr>
        <w:autoSpaceDN w:val="0"/>
        <w:autoSpaceDE w:val="0"/>
        <w:widowControl/>
        <w:spacing w:line="245" w:lineRule="auto" w:before="278" w:after="0"/>
        <w:ind w:left="10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43. И последнее. Не к лицу доктору исторических наук, профессору использовать в своем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«курсе лекций»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такой лексикон: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«непомерное участие женщин в правлении государством это яркий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пример кризиса»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98),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«этикет соблюдался неважно»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102),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«населенные пункты массово гибли»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(с.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109),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«кочевники – терминаторы»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109),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«города превращали в бизнес»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110),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«хорошо наживались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и дрались»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114),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«подсиживания»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127),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«властители нового сообщества»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134),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«чингизиды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ненавидели Мамая», он «выскочка»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138, 161),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«ненависть»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вообще любимое слово автора (с.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7, 15, 83, 98, 127, 130, 138, 144, 160, 165),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«народ сидел беспечно»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140),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«нельзя слепо верить»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140),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«лебезили»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144), а вот еще такое слово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«прилипала»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. Аяган решил приписать это слово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Утемишу-хаджи, но тот, как и его современный переводчик, такого сленга не знали (с. 147).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Есть и такие словообороты: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«новая перекройка мира»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151),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«без конкретики»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157), Тимур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«могильщик Орды»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159) и т.д. и т.п. Но больше всего не повезло жителям Улуса Джучи, их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всех, по непонятной нам причине, автор книги упорно именует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«насельниками»: «насельники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Орды»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7, 21, 94),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«насельники Улуг Улуса»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8, 59),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«насельники Золотой Орды»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38, 201),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«насельники степей»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21. 202), Чингис-хан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«отдал всех этих насельников старшему сыну»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40),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у этих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«насельников»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было военное искусство (с. 60). </w:t>
      </w:r>
    </w:p>
    <w:p>
      <w:pPr>
        <w:autoSpaceDN w:val="0"/>
        <w:autoSpaceDE w:val="0"/>
        <w:widowControl/>
        <w:spacing w:line="245" w:lineRule="auto" w:before="0" w:after="0"/>
        <w:ind w:left="10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Таковы, на наш взгляд, некоторые грубые ошибки книги Аягана. Их, как можно догадаться,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намного больше, но из перечисленного уже складывается вполне ясная картина того, что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читателю предлагают недобросовестную подделку вместо истории Золотой Орды. Автор,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уверенный в полезности своей работы, пишет о том, что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 xml:space="preserve">«ни один другой ученый в Казахстане </w:t>
      </w:r>
      <w:r>
        <w:rPr>
          <w:rFonts w:ascii="PalatinoLinotypeKZItalic" w:hAnsi="PalatinoLinotypeKZItalic" w:eastAsia="PalatinoLinotypeKZItalic"/>
          <w:b w:val="0"/>
          <w:i/>
          <w:color w:val="000000"/>
          <w:sz w:val="21"/>
        </w:rPr>
        <w:t>не приложил особых усилий для подготовки учебного издания по данной тематике»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(с. 27).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Выражаем надежду, что результаты «особых усилий» этого автора не будут приняты за основу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университетских или каких-либо других лекционных курсов!</w:t>
      </w:r>
    </w:p>
    <w:p>
      <w:pPr>
        <w:autoSpaceDN w:val="0"/>
        <w:tabs>
          <w:tab w:pos="294" w:val="left"/>
        </w:tabs>
        <w:autoSpaceDE w:val="0"/>
        <w:widowControl/>
        <w:spacing w:line="245" w:lineRule="auto" w:before="0" w:after="0"/>
        <w:ind w:left="10" w:right="0" w:firstLine="0"/>
        <w:jc w:val="left"/>
      </w:pPr>
      <w:r>
        <w:tab/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Завершить наш критический обзор хотелось бы тремя вопросами к историческому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сообществу Казахстана.</w:t>
      </w:r>
    </w:p>
    <w:p>
      <w:pPr>
        <w:autoSpaceDN w:val="0"/>
        <w:tabs>
          <w:tab w:pos="294" w:val="left"/>
        </w:tabs>
        <w:autoSpaceDE w:val="0"/>
        <w:widowControl/>
        <w:spacing w:line="245" w:lineRule="auto" w:before="0" w:after="0"/>
        <w:ind w:left="10" w:right="0" w:firstLine="0"/>
        <w:jc w:val="left"/>
      </w:pPr>
      <w:r>
        <w:tab/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Есть ли необходимость праздновать юбилейные исторические даты, если мы не можем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создать качественную научную продукцию?</w:t>
      </w:r>
    </w:p>
    <w:p>
      <w:pPr>
        <w:autoSpaceDN w:val="0"/>
        <w:autoSpaceDE w:val="0"/>
        <w:widowControl/>
        <w:spacing w:line="245" w:lineRule="auto" w:before="0" w:after="0"/>
        <w:ind w:left="10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Стоит ли доверять рекомендациям профильных научных учреждений, их ученым советам,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всевозможным академиям, лигам, рецензентам с учеными степенями, если с их публичного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одобрения выходит такая совершенно безграмотная и вредная продукция? </w:t>
      </w:r>
    </w:p>
    <w:p>
      <w:pPr>
        <w:autoSpaceDN w:val="0"/>
        <w:autoSpaceDE w:val="0"/>
        <w:widowControl/>
        <w:spacing w:line="245" w:lineRule="auto" w:before="0" w:after="0"/>
        <w:ind w:left="10" w:right="20" w:firstLine="284"/>
        <w:jc w:val="both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Почему после доказанных обвинений в плагиате, после имевших место судебных решений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в отношении недобросовестных авторов, научное сообщество все так же их поддерживает и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создает почву для новых прецедентов?</w:t>
      </w:r>
    </w:p>
    <w:p>
      <w:pPr>
        <w:autoSpaceDN w:val="0"/>
        <w:autoSpaceDE w:val="0"/>
        <w:widowControl/>
        <w:spacing w:line="209" w:lineRule="auto" w:before="278" w:after="216"/>
        <w:ind w:left="0" w:right="0" w:firstLine="0"/>
        <w:jc w:val="center"/>
      </w:pPr>
      <w:r>
        <w:rPr>
          <w:rFonts w:ascii="PalatinoLinotypeKZBold" w:hAnsi="PalatinoLinotypeKZBold" w:eastAsia="PalatinoLinotypeKZBold"/>
          <w:b/>
          <w:i w:val="0"/>
          <w:color w:val="000000"/>
          <w:sz w:val="21"/>
        </w:rPr>
        <w:t>Список литературы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345"/>
        <w:gridCol w:w="2345"/>
        <w:gridCol w:w="2345"/>
        <w:gridCol w:w="2345"/>
      </w:tblGrid>
      <w:tr>
        <w:trPr>
          <w:trHeight w:hRule="exact" w:val="34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24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1 </w:t>
            </w:r>
          </w:p>
        </w:tc>
        <w:tc>
          <w:tcPr>
            <w:tcW w:type="dxa" w:w="8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284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Аяган Б. История Улуг Улуса – Золотой Орды. Курс лекций / Б. Аяган. – Алматы: </w:t>
            </w:r>
          </w:p>
        </w:tc>
      </w:tr>
      <w:tr>
        <w:trPr>
          <w:trHeight w:hRule="exact" w:val="280"/>
        </w:trPr>
        <w:tc>
          <w:tcPr>
            <w:tcW w:type="dxa" w:w="93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4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>Литера-М, 2020. – 224 с.</w:t>
            </w:r>
          </w:p>
        </w:tc>
      </w:tr>
      <w:tr>
        <w:trPr>
          <w:trHeight w:hRule="exact" w:val="28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4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2 </w:t>
            </w:r>
          </w:p>
        </w:tc>
        <w:tc>
          <w:tcPr>
            <w:tcW w:type="dxa" w:w="8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84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Новые книги по истории казахской государственности презентованы в столице. 24 </w:t>
            </w:r>
          </w:p>
        </w:tc>
      </w:tr>
      <w:tr>
        <w:trPr>
          <w:trHeight w:hRule="exact" w:val="560"/>
        </w:trPr>
        <w:tc>
          <w:tcPr>
            <w:tcW w:type="dxa" w:w="93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>февраля 2021 г.  [Электронный ресурс]. – 2021. – URL: https://www.inform.kz/ru/novye-knigi-po-</w:t>
            </w: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>istorii-kazahskoy-gosudarstvennosti-prezentovany-v-stolice_a3757184 (дата обращения 20.01.2022).</w:t>
            </w:r>
          </w:p>
        </w:tc>
      </w:tr>
      <w:tr>
        <w:trPr>
          <w:trHeight w:hRule="exact" w:val="28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4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3 </w:t>
            </w:r>
          </w:p>
        </w:tc>
        <w:tc>
          <w:tcPr>
            <w:tcW w:type="dxa" w:w="8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84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Атыгаев Н.А. Казахское ханство в потоке истории. Очерки / Н.А. Атыгаев. – Алматы: </w:t>
            </w:r>
          </w:p>
        </w:tc>
      </w:tr>
      <w:tr>
        <w:trPr>
          <w:trHeight w:hRule="exact" w:val="280"/>
        </w:trPr>
        <w:tc>
          <w:tcPr>
            <w:tcW w:type="dxa" w:w="93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4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>Елтаным, 2015. – 384 с.</w:t>
            </w:r>
          </w:p>
        </w:tc>
      </w:tr>
      <w:tr>
        <w:trPr>
          <w:trHeight w:hRule="exact" w:val="28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4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4 </w:t>
            </w:r>
          </w:p>
        </w:tc>
        <w:tc>
          <w:tcPr>
            <w:tcW w:type="dxa" w:w="8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84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Буканова Р.Г. О книге Б.Г. Аягана «История Улуг Улуса – Золотой Орды. Курс лекций // </w:t>
            </w:r>
          </w:p>
        </w:tc>
      </w:tr>
      <w:tr>
        <w:trPr>
          <w:trHeight w:hRule="exact" w:val="280"/>
        </w:trPr>
        <w:tc>
          <w:tcPr>
            <w:tcW w:type="dxa" w:w="93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4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>Проблемы востоковедения. – 2021. – № 1. – С. 90-91.</w:t>
            </w:r>
          </w:p>
        </w:tc>
      </w:tr>
      <w:tr>
        <w:trPr>
          <w:trHeight w:hRule="exact" w:val="28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4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5 </w:t>
            </w:r>
          </w:p>
        </w:tc>
        <w:tc>
          <w:tcPr>
            <w:tcW w:type="dxa" w:w="8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84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Алпысбес М.А. Рецензия на книгу: Аяган Б.Г. История Улуг Улуса – Золотой Орды: </w:t>
            </w:r>
          </w:p>
        </w:tc>
      </w:tr>
      <w:tr>
        <w:trPr>
          <w:trHeight w:hRule="exact" w:val="1100"/>
        </w:trPr>
        <w:tc>
          <w:tcPr>
            <w:tcW w:type="dxa" w:w="93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4" w:right="6" w:firstLine="0"/>
              <w:jc w:val="both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курс лекций // Золотоордынское наследие. Сборник статей, посвященный 700-летию со дня </w:t>
            </w: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рождения средневекового татарского поэта Сейфа Сараи. – Казань: Институт истории им. </w:t>
            </w: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>Ш.Марджани АН РТ, 2021. – С. 321-329.</w:t>
            </w:r>
          </w:p>
        </w:tc>
      </w:tr>
      <w:tr>
        <w:trPr>
          <w:trHeight w:hRule="exact" w:val="232"/>
        </w:trPr>
        <w:tc>
          <w:tcPr>
            <w:tcW w:type="dxa" w:w="7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78" w:after="0"/>
              <w:ind w:left="20" w:right="0" w:firstLine="0"/>
              <w:jc w:val="left"/>
            </w:pP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231F20"/>
                <w:sz w:val="17"/>
              </w:rPr>
              <w:t>ВЕСТНИК Евразийского национального университета имени Л.Н. Гумилева.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0" w:right="288" w:firstLine="0"/>
              <w:jc w:val="left"/>
            </w:pP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231F20"/>
                <w:sz w:val="17"/>
              </w:rPr>
              <w:t xml:space="preserve">Серия Исторические науки. Философия. Религиоведение </w:t>
            </w:r>
            <w:r>
              <w:br/>
            </w: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231F20"/>
                <w:sz w:val="17"/>
              </w:rPr>
              <w:t>BULLETIN of  L.N. Gumilyov Eurasian National University. Historical Sciences. Philosophy. Religion Series</w:t>
            </w:r>
          </w:p>
        </w:tc>
        <w:tc>
          <w:tcPr>
            <w:tcW w:type="dxa" w:w="1720"/>
            <w:tcBorders>
              <w:bottom w:sz="2.0" w:val="single" w:color="#52525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bottom w:sz="2.0" w:val="single" w:color="#525252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0"/>
        </w:trPr>
        <w:tc>
          <w:tcPr>
            <w:tcW w:type="dxa" w:w="4690"/>
            <w:gridSpan w:val="2"/>
            <w:vMerge/>
            <w:tcBorders/>
          </w:tcPr>
          <w:p/>
        </w:tc>
        <w:tc>
          <w:tcPr>
            <w:tcW w:type="dxa" w:w="172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40" w:after="0"/>
              <w:ind w:left="318" w:right="0" w:firstLine="0"/>
              <w:jc w:val="left"/>
            </w:pPr>
            <w:r>
              <w:rPr>
                <w:w w:val="97.5108814239502"/>
                <w:rFonts w:ascii="ArialKZ" w:hAnsi="ArialKZ" w:eastAsia="ArialKZ"/>
                <w:b w:val="0"/>
                <w:i w:val="0"/>
                <w:color w:val="535353"/>
                <w:sz w:val="20"/>
              </w:rPr>
              <w:t>№ 1(138)/2022</w:t>
            </w:r>
          </w:p>
        </w:tc>
        <w:tc>
          <w:tcPr>
            <w:tcW w:type="dxa" w:w="54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0" w:after="0"/>
              <w:ind w:left="0" w:right="0" w:firstLine="0"/>
              <w:jc w:val="center"/>
            </w:pPr>
            <w:r>
              <w:rPr>
                <w:rFonts w:ascii="ArialKZ" w:hAnsi="ArialKZ" w:eastAsia="ArialKZ"/>
                <w:b w:val="0"/>
                <w:i w:val="0"/>
                <w:color w:val="000000"/>
                <w:sz w:val="20"/>
              </w:rPr>
              <w:t>211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20" w:right="1232" w:bottom="332" w:left="12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4687"/>
        <w:gridCol w:w="4687"/>
      </w:tblGrid>
      <w:tr>
        <w:trPr>
          <w:trHeight w:hRule="exact" w:val="524"/>
        </w:trPr>
        <w:tc>
          <w:tcPr>
            <w:tcW w:type="dxa" w:w="478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0" w:after="0"/>
              <w:ind w:left="2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6 </w:t>
            </w:r>
          </w:p>
        </w:tc>
        <w:tc>
          <w:tcPr>
            <w:tcW w:type="dxa" w:w="888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0" w:after="0"/>
              <w:ind w:left="244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Аяган Б.Г. На отзыв Н.Атыгаева на мою работу «Рассветы и сумерки казахской степи». </w:t>
            </w:r>
          </w:p>
        </w:tc>
      </w:tr>
      <w:tr>
        <w:trPr>
          <w:trHeight w:hRule="exact" w:val="280"/>
        </w:trPr>
        <w:tc>
          <w:tcPr>
            <w:tcW w:type="dxa" w:w="93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>[Электронный ресурс]. – 2021. – URL: https://iie.kz/?p=3978(дата обращения 20.01.2022).</w:t>
            </w:r>
          </w:p>
        </w:tc>
      </w:tr>
      <w:tr>
        <w:trPr>
          <w:trHeight w:hRule="exact" w:val="280"/>
        </w:trPr>
        <w:tc>
          <w:tcPr>
            <w:tcW w:type="dxa" w:w="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7 </w:t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44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Бартольд В.В. Двенадцать лекций по истории турецких народов Средней Азии // Соч. – </w:t>
            </w:r>
          </w:p>
        </w:tc>
      </w:tr>
      <w:tr>
        <w:trPr>
          <w:trHeight w:hRule="exact" w:val="280"/>
        </w:trPr>
        <w:tc>
          <w:tcPr>
            <w:tcW w:type="dxa" w:w="93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>Москва: Наука. ГРВЛ, 1968, Т. 5. – С. 19-192.</w:t>
            </w:r>
          </w:p>
        </w:tc>
      </w:tr>
      <w:tr>
        <w:trPr>
          <w:trHeight w:hRule="exact" w:val="280"/>
        </w:trPr>
        <w:tc>
          <w:tcPr>
            <w:tcW w:type="dxa" w:w="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8 </w:t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44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Масанов Н.Э., Абылхожин Ж.Б., Ерофеева И.В. Научное знание и мифотворчество в </w:t>
            </w:r>
          </w:p>
        </w:tc>
      </w:tr>
      <w:tr>
        <w:trPr>
          <w:trHeight w:hRule="exact" w:val="560"/>
        </w:trPr>
        <w:tc>
          <w:tcPr>
            <w:tcW w:type="dxa" w:w="93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современной историографии Казахстана / Н.Э. Масанов, Ж.Б. Абылхожин, И.В. Ерофеева. – </w:t>
            </w: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>Алматы: Дайк-Пресс, 2007. – 296 с.</w:t>
            </w:r>
          </w:p>
        </w:tc>
      </w:tr>
      <w:tr>
        <w:trPr>
          <w:trHeight w:hRule="exact" w:val="280"/>
        </w:trPr>
        <w:tc>
          <w:tcPr>
            <w:tcW w:type="dxa" w:w="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9 </w:t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44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Панарин С.А., Фоменко И.К. Сказ о том, как адъюнкт-профессор на карте XV в. Алматы </w:t>
            </w:r>
          </w:p>
        </w:tc>
      </w:tr>
      <w:tr>
        <w:trPr>
          <w:trHeight w:hRule="exact" w:val="280"/>
        </w:trPr>
        <w:tc>
          <w:tcPr>
            <w:tcW w:type="dxa" w:w="93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>нашел // Историческая экспертиза. – 2016. – № 2. – С. 181-205.</w:t>
            </w:r>
          </w:p>
        </w:tc>
      </w:tr>
      <w:tr>
        <w:trPr>
          <w:trHeight w:hRule="exact" w:val="280"/>
        </w:trPr>
        <w:tc>
          <w:tcPr>
            <w:tcW w:type="dxa" w:w="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10 </w:t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44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Султанов Т.И. Зерцало минувших столетий. Историческая книга в культуре Средней </w:t>
            </w:r>
          </w:p>
        </w:tc>
      </w:tr>
      <w:tr>
        <w:trPr>
          <w:trHeight w:hRule="exact" w:val="280"/>
        </w:trPr>
        <w:tc>
          <w:tcPr>
            <w:tcW w:type="dxa" w:w="93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>Азии в XV–XIX вв. / Т.И. Султанов. – Санкт-Петербург: СПбГУ, 2005. – 304 с.</w:t>
            </w:r>
          </w:p>
        </w:tc>
      </w:tr>
      <w:tr>
        <w:trPr>
          <w:trHeight w:hRule="exact" w:val="280"/>
        </w:trPr>
        <w:tc>
          <w:tcPr>
            <w:tcW w:type="dxa" w:w="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11 </w:t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44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Левшин А.И. Описание киргиз-казачьих, или киргиз-кайсацких, орд и степей / А.И. </w:t>
            </w:r>
          </w:p>
        </w:tc>
      </w:tr>
      <w:tr>
        <w:trPr>
          <w:trHeight w:hRule="exact" w:val="280"/>
        </w:trPr>
        <w:tc>
          <w:tcPr>
            <w:tcW w:type="dxa" w:w="93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>Левшин. – Алматы: Санат, 1996. – 656 с.</w:t>
            </w:r>
          </w:p>
        </w:tc>
      </w:tr>
      <w:tr>
        <w:trPr>
          <w:trHeight w:hRule="exact" w:val="280"/>
        </w:trPr>
        <w:tc>
          <w:tcPr>
            <w:tcW w:type="dxa" w:w="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12 </w:t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44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Султанов Т.И. Поднятые на белой кошме. Потомки Чингиз-хана / Т.И. Султанов. – </w:t>
            </w:r>
          </w:p>
        </w:tc>
      </w:tr>
      <w:tr>
        <w:trPr>
          <w:trHeight w:hRule="exact" w:val="280"/>
        </w:trPr>
        <w:tc>
          <w:tcPr>
            <w:tcW w:type="dxa" w:w="93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>Алматы: Дайк-Пресс, 2001. – 276 с.</w:t>
            </w:r>
          </w:p>
        </w:tc>
      </w:tr>
      <w:tr>
        <w:trPr>
          <w:trHeight w:hRule="exact" w:val="280"/>
        </w:trPr>
        <w:tc>
          <w:tcPr>
            <w:tcW w:type="dxa" w:w="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13 </w:t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44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Султанов Т.И. Казахи. Судьба народа и судьба страны в Средние века / Т.И. Султанов. – </w:t>
            </w:r>
          </w:p>
        </w:tc>
      </w:tr>
      <w:tr>
        <w:trPr>
          <w:trHeight w:hRule="exact" w:val="280"/>
        </w:trPr>
        <w:tc>
          <w:tcPr>
            <w:tcW w:type="dxa" w:w="93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>Алматы: Дайк-Пресс, 2020. – 344 с.</w:t>
            </w:r>
          </w:p>
        </w:tc>
      </w:tr>
      <w:tr>
        <w:trPr>
          <w:trHeight w:hRule="exact" w:val="280"/>
        </w:trPr>
        <w:tc>
          <w:tcPr>
            <w:tcW w:type="dxa" w:w="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14 </w:t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44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Восточная дипломатия на стыке цивилизаций (конец XIV – 70 годы XIX вв.). Сборник </w:t>
            </w:r>
          </w:p>
        </w:tc>
      </w:tr>
      <w:tr>
        <w:trPr>
          <w:trHeight w:hRule="exact" w:val="560"/>
        </w:trPr>
        <w:tc>
          <w:tcPr>
            <w:tcW w:type="dxa" w:w="93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документов и материалов. Автор введений, переводов китайских документов, указателей, </w:t>
            </w: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научных комментариев К.Ш. Хафизова. – Астана: Ғылым, 2015. – 400 с. </w:t>
            </w:r>
          </w:p>
        </w:tc>
      </w:tr>
      <w:tr>
        <w:trPr>
          <w:trHeight w:hRule="exact" w:val="280"/>
        </w:trPr>
        <w:tc>
          <w:tcPr>
            <w:tcW w:type="dxa" w:w="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15 </w:t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44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Шпулер Б. Золотая Орда. Монголы в России. 1223–1502 гг. / Б.Шпулер. – Казань: Ин-т </w:t>
            </w:r>
          </w:p>
        </w:tc>
      </w:tr>
      <w:tr>
        <w:trPr>
          <w:trHeight w:hRule="exact" w:val="358"/>
        </w:trPr>
        <w:tc>
          <w:tcPr>
            <w:tcW w:type="dxa" w:w="93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" w:after="0"/>
              <w:ind w:left="2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>истории им. Ш. Марджани АН РТ, 2016. – 500 с.</w:t>
            </w:r>
          </w:p>
        </w:tc>
      </w:tr>
    </w:tbl>
    <w:p>
      <w:pPr>
        <w:autoSpaceDN w:val="0"/>
        <w:autoSpaceDE w:val="0"/>
        <w:widowControl/>
        <w:spacing w:line="209" w:lineRule="auto" w:before="496" w:after="0"/>
        <w:ind w:left="0" w:right="0" w:firstLine="0"/>
        <w:jc w:val="center"/>
      </w:pPr>
      <w:r>
        <w:rPr>
          <w:rFonts w:ascii="PalatinoLinotypeKZBold" w:hAnsi="PalatinoLinotypeKZBold" w:eastAsia="PalatinoLinotypeKZBold"/>
          <w:b/>
          <w:i w:val="0"/>
          <w:color w:val="000000"/>
          <w:sz w:val="21"/>
        </w:rPr>
        <w:t>References</w:t>
      </w:r>
    </w:p>
    <w:p>
      <w:pPr>
        <w:autoSpaceDN w:val="0"/>
        <w:tabs>
          <w:tab w:pos="724" w:val="left"/>
        </w:tabs>
        <w:autoSpaceDE w:val="0"/>
        <w:widowControl/>
        <w:spacing w:line="245" w:lineRule="auto" w:before="278" w:after="0"/>
        <w:ind w:left="4" w:right="0" w:firstLine="0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1 </w:t>
      </w:r>
      <w:r>
        <w:tab/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Ajagan B.  Istorija Ulug Ulusa – Zolotoj Ordy. Kurs lekcij [The history of Ulug Ulus – the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Golden Horde: a course of lectures]. (Litera-M, Almaty, 2020, 224 p.), [in Russian].</w:t>
      </w:r>
    </w:p>
    <w:p>
      <w:pPr>
        <w:autoSpaceDN w:val="0"/>
        <w:tabs>
          <w:tab w:pos="724" w:val="left"/>
        </w:tabs>
        <w:autoSpaceDE w:val="0"/>
        <w:widowControl/>
        <w:spacing w:line="245" w:lineRule="auto" w:before="0" w:after="0"/>
        <w:ind w:left="4" w:right="0" w:firstLine="0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2 </w:t>
      </w:r>
      <w:r>
        <w:tab/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Novye knigi po istorii kazahskoj gosudarstvennosti prezentovany v stolice [New books on the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history of Kazakh statehood presented in the capital]. Available at://www.inform.kz/ru/novye-knigi-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po-istorii-kazahskoy-gosudarstvennosti-prezentovany-v-stolice_a3757184, [in Russian]. (accessed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20.01.2022).</w:t>
      </w:r>
    </w:p>
    <w:p>
      <w:pPr>
        <w:autoSpaceDN w:val="0"/>
        <w:tabs>
          <w:tab w:pos="724" w:val="left"/>
        </w:tabs>
        <w:autoSpaceDE w:val="0"/>
        <w:widowControl/>
        <w:spacing w:line="245" w:lineRule="auto" w:before="0" w:after="0"/>
        <w:ind w:left="4" w:right="0" w:firstLine="0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3 </w:t>
      </w:r>
      <w:r>
        <w:tab/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Atygaev N.A. Kazahskoe hanstvo v potoke istorii. Ocherki [The Kazakh Khanate in the flow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of history. Essays]. (Eltanym, Almaty,2015, 384 p.), [in Russian]. </w:t>
      </w:r>
    </w:p>
    <w:p>
      <w:pPr>
        <w:autoSpaceDN w:val="0"/>
        <w:tabs>
          <w:tab w:pos="724" w:val="left"/>
        </w:tabs>
        <w:autoSpaceDE w:val="0"/>
        <w:widowControl/>
        <w:spacing w:line="245" w:lineRule="auto" w:before="0" w:after="0"/>
        <w:ind w:left="4" w:right="0" w:firstLine="0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4 </w:t>
      </w:r>
      <w:r>
        <w:tab/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Bukanova R.G. O knige B.G. Ajagana «Istorija Ulug Ulusa – Zolotoj Ordy. Kurs lekcij» [About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the book of B.G. Ayagan «The history of Ulug Ulus – the Golden Horde: a course of lectures»]. </w:t>
      </w:r>
    </w:p>
    <w:p>
      <w:pPr>
        <w:autoSpaceDN w:val="0"/>
        <w:autoSpaceDE w:val="0"/>
        <w:widowControl/>
        <w:spacing w:line="209" w:lineRule="auto" w:before="0" w:after="0"/>
        <w:ind w:left="4" w:right="0" w:firstLine="0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Problemy vostokovedenija  [Problems of Oriental studies], 2020. No.1. P.90–91, [in Russian].</w:t>
      </w:r>
    </w:p>
    <w:p>
      <w:pPr>
        <w:autoSpaceDN w:val="0"/>
        <w:autoSpaceDE w:val="0"/>
        <w:widowControl/>
        <w:spacing w:line="245" w:lineRule="auto" w:before="0" w:after="0"/>
        <w:ind w:left="4" w:right="0" w:firstLine="720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Alpysbes M.A. Recenzija na knigu: Ajagan B.G. Istorija Ulug Ulusa – Zolotoj Ordy: kurs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5 </w:t>
      </w:r>
      <w:r>
        <w:br/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lekcij. Zolotoordynskoe nasledie. Sbornik statej, posvjashhennyj 700-letiju so dnja rozhdenija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srednevekovogo tatarskogo pojeta Sejfa Sarai [Book Review: Ayagan B.G. The History of the Ulugh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Ulus – The Golden Horde: Course of Lectures. Golden Horde Legacy]. 2021. No.4. P. 321–329, [in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Russian].</w:t>
      </w:r>
    </w:p>
    <w:p>
      <w:pPr>
        <w:autoSpaceDN w:val="0"/>
        <w:tabs>
          <w:tab w:pos="724" w:val="left"/>
        </w:tabs>
        <w:autoSpaceDE w:val="0"/>
        <w:widowControl/>
        <w:spacing w:line="245" w:lineRule="auto" w:before="0" w:after="0"/>
        <w:ind w:left="4" w:right="0" w:firstLine="0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6 </w:t>
      </w:r>
      <w:r>
        <w:tab/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Ajagan B.G. Na otzyv N.Atygaeva na moju rabotu «Rassvety i sumerki kazahskoj stepi» [To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N.Atygaev›s review of my work «The Dawns and Twilight of the Kazakh steppe»]. Available at: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https://iie.kz/?p=3978, [in Russian]. (accessed 20.01.2022).</w:t>
      </w:r>
    </w:p>
    <w:p>
      <w:pPr>
        <w:autoSpaceDN w:val="0"/>
        <w:tabs>
          <w:tab w:pos="724" w:val="left"/>
        </w:tabs>
        <w:autoSpaceDE w:val="0"/>
        <w:widowControl/>
        <w:spacing w:line="245" w:lineRule="auto" w:before="0" w:after="476"/>
        <w:ind w:left="4" w:right="0" w:firstLine="0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7 </w:t>
      </w:r>
      <w:r>
        <w:tab/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Bartol›d V.V.  Dvenadcat› lekcij po istorii tureckih narodov Srednej Azii [Twelve lectures on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the history of the Turkish peoples of Central Asia]. Sochineniya [Essays]. (Nauka, Moscow, 1968), [in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Russian].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5"/>
        <w:gridCol w:w="3125"/>
        <w:gridCol w:w="3125"/>
      </w:tblGrid>
      <w:tr>
        <w:trPr>
          <w:trHeight w:hRule="exact" w:val="704"/>
        </w:trPr>
        <w:tc>
          <w:tcPr>
            <w:tcW w:type="dxa" w:w="50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0" w:right="0" w:firstLine="0"/>
              <w:jc w:val="center"/>
            </w:pPr>
            <w:r>
              <w:rPr>
                <w:rFonts w:ascii="ArialKZ" w:hAnsi="ArialKZ" w:eastAsia="ArialKZ"/>
                <w:b w:val="0"/>
                <w:i w:val="0"/>
                <w:color w:val="000000"/>
                <w:sz w:val="20"/>
              </w:rPr>
              <w:t>212</w:t>
            </w:r>
          </w:p>
        </w:tc>
        <w:tc>
          <w:tcPr>
            <w:tcW w:type="dxa" w:w="252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42" w:after="0"/>
              <w:ind w:left="88" w:right="0" w:firstLine="0"/>
              <w:jc w:val="left"/>
            </w:pPr>
            <w:r>
              <w:rPr>
                <w:w w:val="97.5108814239502"/>
                <w:rFonts w:ascii="ArialKZ" w:hAnsi="ArialKZ" w:eastAsia="ArialKZ"/>
                <w:b w:val="0"/>
                <w:i w:val="0"/>
                <w:color w:val="535353"/>
                <w:sz w:val="20"/>
              </w:rPr>
              <w:t>№ 1(138)/2022</w:t>
            </w:r>
          </w:p>
        </w:tc>
        <w:tc>
          <w:tcPr>
            <w:tcW w:type="dxa" w:w="632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48" w:val="left"/>
                <w:tab w:pos="3986" w:val="left"/>
              </w:tabs>
              <w:autoSpaceDE w:val="0"/>
              <w:widowControl/>
              <w:spacing w:line="245" w:lineRule="auto" w:before="48" w:after="0"/>
              <w:ind w:left="1160" w:right="0" w:firstLine="0"/>
              <w:jc w:val="left"/>
            </w:pP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000000"/>
                <w:sz w:val="17"/>
              </w:rPr>
              <w:t xml:space="preserve">Л.Н. Гумилев атындағы Еуразия ұлттық университетінің ХАБАРШЫСЫ. </w:t>
            </w: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000000"/>
                <w:sz w:val="17"/>
              </w:rPr>
              <w:t>Тарихи ғылымдар. Философия. Дінтану сериясы</w:t>
            </w:r>
            <w:r>
              <w:tab/>
            </w:r>
            <w:r>
              <w:tab/>
            </w: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000000"/>
                <w:sz w:val="17"/>
              </w:rPr>
              <w:t>ISSN: 2616-7255, eISSN: 2663-2489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26" w:right="1232" w:bottom="332" w:left="1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548"/>
        </w:trPr>
        <w:tc>
          <w:tcPr>
            <w:tcW w:type="dxa" w:w="446"/>
            <w:tcBorders>
              <w:top w:sz="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54" w:after="0"/>
              <w:ind w:left="10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8 </w:t>
            </w:r>
          </w:p>
        </w:tc>
        <w:tc>
          <w:tcPr>
            <w:tcW w:type="dxa" w:w="8920"/>
            <w:tcBorders>
              <w:top w:sz="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54" w:after="0"/>
              <w:ind w:left="284" w:right="0" w:firstLine="0"/>
              <w:jc w:val="left"/>
            </w:pPr>
            <w:r>
              <w:rPr>
                <w:rFonts w:ascii="PalatinoLinotypeKZ" w:hAnsi="PalatinoLinotypeKZ" w:eastAsia="PalatinoLinotypeKZ"/>
                <w:b w:val="0"/>
                <w:i w:val="0"/>
                <w:color w:val="000000"/>
                <w:sz w:val="21"/>
              </w:rPr>
              <w:t xml:space="preserve">Masanov N.E., Abylhozhin Zh.B., Erofeeva I.V. (2007). Nauchnoe znanie i mifotvorchestvo 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0" w:right="0" w:firstLine="0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v sovremennoj istoriografii Kazahstana [Scientific knowledge and myth-making in modern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historiography of Kazakhstan]. (Daik-Press, Almaty, 2007, 296 p.), [in Russian].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4" w:after="0"/>
        <w:ind w:left="10" w:right="0" w:firstLine="0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9 </w:t>
      </w:r>
      <w:r>
        <w:tab/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Panarin S.A., Fomenko I.K. Skaz o tom, kak ad’junkt-professor na karte XV v. Almaty nashel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[A tale about how an adjunct professor found Almaty on a map of the fifteenth century]. Istoricheskaja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jekspertiza – Historical expertise. 2016. 2. P. 181–205, [in Russian].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4" w:after="0"/>
        <w:ind w:left="10" w:right="0" w:firstLine="0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10 </w:t>
      </w:r>
      <w:r>
        <w:tab/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Sultanov T.I. Zercalo minuvshih stoletij. Istoricheskaja kniga v kul›ture Srednej Azii v XV–XIX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vv. [The mirror of the past centuries. A historical book in the culture of Central Asia in the fifteenth –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nineteenth centuries]. (Faculty of Philology of St. Petersburg State University, Saint Petersburg, 2005,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304 p.), [in Russian].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4" w:after="0"/>
        <w:ind w:left="10" w:right="0" w:firstLine="0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11 </w:t>
      </w:r>
      <w:r>
        <w:tab/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Levshin A.I. Opisanie kirgiz-kazach›ih, ili kirgiz-kajsackih, ord i stepej [Description of the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Kirghiz-Cossack, or Kirghiz-Kaysak, hordes and steppes]. (Sanat, Almaty,1996, 656 p.), [in Russian].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12 </w:t>
      </w:r>
      <w:r>
        <w:tab/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Sultanov T.I. Podnâtye na beloj košme. Potomki Čingiz-hana. [Raised on a white felt.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Descendants of Genghis Khan], ( Daik-Press, Almaty, 2001, 276 p.), [in Russian].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4" w:after="0"/>
        <w:ind w:left="10" w:right="0" w:firstLine="0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13 </w:t>
      </w:r>
      <w:r>
        <w:tab/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Sultanov T.I. (2020). Kazahi. Sud›ba naroda i sud›ba strany v Srednie veka [Kazakhs. The fate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of the people and the fate of the country in the Middle Ages], (Daik-Press, Almaty, 2020, 334 p.), [in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Russian].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4" w:after="0"/>
        <w:ind w:left="10" w:right="0" w:firstLine="0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14 </w:t>
      </w:r>
      <w:r>
        <w:tab/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Khafizova K.Sh.  Vostochnaja diplomatija na styke civilizacij (konec XIV – 70 gody XIX vv.).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Sbornik dokumentov i materialov [Eastern diplomacy at the crossroads of civilizations. The end of the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fourteenth century – the seventies of the nineteenth century. Collection of documents and materials],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(Gylym, Astana, 2015, 400 p.), [in Russian].</w:t>
      </w:r>
    </w:p>
    <w:p>
      <w:pPr>
        <w:autoSpaceDN w:val="0"/>
        <w:tabs>
          <w:tab w:pos="730" w:val="left"/>
        </w:tabs>
        <w:autoSpaceDE w:val="0"/>
        <w:widowControl/>
        <w:spacing w:line="245" w:lineRule="auto" w:before="4" w:after="7360"/>
        <w:ind w:left="10" w:right="0" w:firstLine="0"/>
        <w:jc w:val="left"/>
      </w:pP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15 </w:t>
      </w:r>
      <w:r>
        <w:tab/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 xml:space="preserve"> Shpuler B. Zolotaia Orda. Mongoly v Rossii. 1223–1502 gg. [The Golden Horde. Mongols in </w:t>
      </w:r>
      <w:r>
        <w:rPr>
          <w:rFonts w:ascii="PalatinoLinotypeKZ" w:hAnsi="PalatinoLinotypeKZ" w:eastAsia="PalatinoLinotypeKZ"/>
          <w:b w:val="0"/>
          <w:i w:val="0"/>
          <w:color w:val="000000"/>
          <w:sz w:val="21"/>
        </w:rPr>
        <w:t>Russia. 1223–1502.], (Marjani Institute of History, Kazan, 2016, 500 p.), [in Russian].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3127"/>
        <w:gridCol w:w="3127"/>
        <w:gridCol w:w="3127"/>
      </w:tblGrid>
      <w:tr>
        <w:trPr>
          <w:trHeight w:hRule="exact" w:val="700"/>
        </w:trPr>
        <w:tc>
          <w:tcPr>
            <w:tcW w:type="dxa" w:w="7098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44" w:after="0"/>
              <w:ind w:left="0" w:right="0" w:firstLine="0"/>
              <w:jc w:val="left"/>
            </w:pP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231F20"/>
                <w:sz w:val="17"/>
              </w:rPr>
              <w:t>ВЕСТНИК Евразийского национального университета имени Л.Н. Гумилева.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0" w:right="288" w:firstLine="0"/>
              <w:jc w:val="left"/>
            </w:pP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231F20"/>
                <w:sz w:val="17"/>
              </w:rPr>
              <w:t xml:space="preserve">Серия Исторические науки. Философия. Религиоведение </w:t>
            </w:r>
            <w:r>
              <w:br/>
            </w:r>
            <w:r>
              <w:rPr>
                <w:w w:val="97.61870889102711"/>
                <w:rFonts w:ascii="PalatinoLinotypeKZItalic" w:hAnsi="PalatinoLinotypeKZItalic" w:eastAsia="PalatinoLinotypeKZItalic"/>
                <w:b w:val="0"/>
                <w:i/>
                <w:color w:val="231F20"/>
                <w:sz w:val="17"/>
              </w:rPr>
              <w:t>BULLETIN of  L.N. Gumilyov Eurasian National University. Historical Sciences. Philosophy. Religion Series</w:t>
            </w:r>
          </w:p>
        </w:tc>
        <w:tc>
          <w:tcPr>
            <w:tcW w:type="dxa" w:w="1720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40" w:after="0"/>
              <w:ind w:left="318" w:right="0" w:firstLine="0"/>
              <w:jc w:val="left"/>
            </w:pPr>
            <w:r>
              <w:rPr>
                <w:w w:val="97.5108814239502"/>
                <w:rFonts w:ascii="ArialKZ" w:hAnsi="ArialKZ" w:eastAsia="ArialKZ"/>
                <w:b w:val="0"/>
                <w:i w:val="0"/>
                <w:color w:val="535353"/>
                <w:sz w:val="20"/>
              </w:rPr>
              <w:t>№ 1(138)/2022</w:t>
            </w:r>
          </w:p>
        </w:tc>
        <w:tc>
          <w:tcPr>
            <w:tcW w:type="dxa" w:w="484"/>
            <w:tcBorders>
              <w:top w:sz="2.0" w:val="single" w:color="#52525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0" w:after="0"/>
              <w:ind w:left="120" w:right="0" w:firstLine="0"/>
              <w:jc w:val="left"/>
            </w:pPr>
            <w:r>
              <w:rPr>
                <w:rFonts w:ascii="ArialKZ" w:hAnsi="ArialKZ" w:eastAsia="ArialKZ"/>
                <w:b w:val="0"/>
                <w:i w:val="0"/>
                <w:color w:val="000000"/>
                <w:sz w:val="20"/>
              </w:rPr>
              <w:t>213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620" w:right="1232" w:bottom="332" w:left="12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