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EIC Pathfinder One-Pager - Live 2.0</w:t>
      </w:r>
    </w:p>
    <w:p>
      <w:pPr>
        <w:pStyle w:val="Heading1"/>
      </w:pPr>
      <w:r>
        <w:t>Project Title</w:t>
      </w:r>
    </w:p>
    <w:p>
      <w:r>
        <w:t>Live 2.0 – GPU-powered Artificial Life Simulator for Origins of Life Research</w:t>
      </w:r>
    </w:p>
    <w:p>
      <w:pPr>
        <w:pStyle w:val="Heading1"/>
      </w:pPr>
      <w:r>
        <w:t>Vision</w:t>
      </w:r>
    </w:p>
    <w:p>
      <w:r>
        <w:t>Life 2.0 aims to create the first open computational platform for simulating prebiotic chemistry and studying the emergence of life. By combining high-performance GPU simulations with state-of-the-art AI, we will accelerate the discovery of novel chemical pathways that could explain how life arose from non-living matter.</w:t>
      </w:r>
    </w:p>
    <w:p>
      <w:pPr>
        <w:pStyle w:val="Heading1"/>
      </w:pPr>
      <w:r>
        <w:t>Objectives</w:t>
      </w:r>
    </w:p>
    <w:p>
      <w:r>
        <w:t>1. Develop a robust GPU-accelerated simulation engine (10^5 particles @ 60 FPS).</w:t>
        <w:br/>
        <w:t>2. Reproduce key prebiotic reactions (Miller-Urey, formose, HCN).</w:t>
        <w:br/>
        <w:t>3. Detect emergent phenomena (autocatalysis, proto-membranes, proto-RNA).</w:t>
        <w:br/>
        <w:t>4. Integrate AI models (GNNs, LSTMs, RL agents) to predict and optimize reaction outcomes.</w:t>
        <w:br/>
        <w:t>5. Provide an open platform for researchers and educators worldwide.</w:t>
      </w:r>
    </w:p>
    <w:p>
      <w:pPr>
        <w:pStyle w:val="Heading1"/>
      </w:pPr>
      <w:r>
        <w:t>Breakthrough Character</w:t>
      </w:r>
    </w:p>
    <w:p>
      <w:r>
        <w:t>- Novelty: First open, scalable simulator for prebiotic chemistry.</w:t>
        <w:br/>
        <w:t>- High-risk/high-gain: Tackles the fundamental question 'What is life?'</w:t>
        <w:br/>
        <w:t>- Interdisciplinary: Bridges chemistry, AI, and origins-of-life research.</w:t>
      </w:r>
    </w:p>
    <w:p>
      <w:pPr>
        <w:pStyle w:val="Heading1"/>
      </w:pPr>
      <w:r>
        <w:t>Methodology</w:t>
      </w:r>
    </w:p>
    <w:p>
      <w:r>
        <w:t>- Physics-based simulation using Taichi + FastAPI backend.</w:t>
        <w:br/>
        <w:t>- Graph-based chemical cataloguing with novelty metrics.</w:t>
        <w:br/>
        <w:t>- Machine learning for prediction and optimization.</w:t>
        <w:br/>
        <w:t>- Validation against experimental data from partner labs.</w:t>
      </w:r>
    </w:p>
    <w:p>
      <w:pPr>
        <w:pStyle w:val="Heading1"/>
      </w:pPr>
      <w:r>
        <w:t>Impact</w:t>
      </w:r>
    </w:p>
    <w:p>
      <w:r>
        <w:t>- Scientific: Accelerated discovery of new reaction pathways.</w:t>
        <w:br/>
        <w:t>- Societal: Inspires new generations of scientists, supports education.</w:t>
        <w:br/>
        <w:t>- Technological: Provides AI-driven framework for complex emergent systems.</w:t>
      </w:r>
    </w:p>
    <w:p>
      <w:pPr>
        <w:pStyle w:val="Heading1"/>
      </w:pPr>
      <w:r>
        <w:t>Consortium</w:t>
      </w:r>
    </w:p>
    <w:p>
      <w:r>
        <w:t>- Lead: [Your company/team]</w:t>
        <w:br/>
        <w:t>- Partners: University labs (chemistry, AI, HPC centers), industry (cloud/GPU providers).</w:t>
      </w:r>
    </w:p>
    <w:p>
      <w:pPr>
        <w:pStyle w:val="Heading1"/>
      </w:pPr>
      <w:r>
        <w:t>Budget &amp; Timeline</w:t>
      </w:r>
    </w:p>
    <w:p>
      <w:r>
        <w:t>- Requested budget: €3.5M</w:t>
        <w:br/>
        <w:t>- Duration: 36 months</w:t>
        <w:br/>
        <w:t>- Phases: MVP (year 1), AI integration (year 2), global platform (year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