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63FE" w14:textId="77777777" w:rsidR="00284473" w:rsidRDefault="00000000">
      <w:pPr>
        <w:pStyle w:val="Tytu"/>
      </w:pPr>
      <w:r>
        <w:t>Live 2.0 – Detailed Description (NCN OPUS)</w:t>
      </w:r>
    </w:p>
    <w:p w14:paraId="1F70DB58" w14:textId="77777777" w:rsidR="00284473" w:rsidRDefault="00000000">
      <w:pPr>
        <w:pStyle w:val="Nagwek1"/>
      </w:pPr>
      <w:r>
        <w:t>1. Scientific goal of the project</w:t>
      </w:r>
    </w:p>
    <w:p w14:paraId="479B912A" w14:textId="77777777" w:rsidR="00284473" w:rsidRDefault="00000000">
      <w:r>
        <w:t>The Live 2.0 project seeks to answer one of the most fundamental scientific questions: How could life emerge from non-living matter? Its objective is to develop a GPU-accelerated, open-source simulation platform capable of reproducing known prebiotic reactions and exploring new, emergent phenomena such as autocatalysis, proto-membrane formation, and polymerization of proto-RNA.</w:t>
      </w:r>
      <w:r>
        <w:br/>
      </w:r>
      <w:r>
        <w:br/>
        <w:t>The hypotheses are:</w:t>
      </w:r>
      <w:r>
        <w:br/>
        <w:t>- Particle-based, open-ended simulations can reproduce experimental prebiotic chemistry results under realistic conditions.</w:t>
      </w:r>
      <w:r>
        <w:br/>
        <w:t>- Novelty metrics (tracking new species and reactions) can be formalized as quantitative indicators of emergent 'life-like' behavior.</w:t>
      </w:r>
      <w:r>
        <w:br/>
        <w:t>- AI techniques (graph neural networks, reinforcement learning) can accelerate the discovery of new reaction pathways and optimize environmental conditions for emergence.</w:t>
      </w:r>
    </w:p>
    <w:p w14:paraId="361CDC10" w14:textId="77777777" w:rsidR="00284473" w:rsidRDefault="00000000">
      <w:pPr>
        <w:pStyle w:val="Nagwek1"/>
      </w:pPr>
      <w:r>
        <w:t>2. Significance of the project</w:t>
      </w:r>
    </w:p>
    <w:p w14:paraId="0C33298F" w14:textId="77777777" w:rsidR="00284473" w:rsidRDefault="00000000">
      <w:r>
        <w:t>State of knowledge: Research into the origins of life has produced key results (Miller–Urey experiment, RNA world hypothesis, cyanosulfidic protometabolism), but laboratory studies remain constrained by time and resources. Computational chemistry traditionally models fixed sets of molecules; it rarely allows open-ended emergence.</w:t>
      </w:r>
      <w:r>
        <w:br/>
      </w:r>
      <w:r>
        <w:br/>
        <w:t>Novelty: Live 2.0 introduces an Open Chemistry paradigm: instead of predefined molecules, species are dynamically discovered via bond-graph hashing, while reactions and compounds emerge directly from simulation rules. This approach is unprecedented in origins-of-life research.</w:t>
      </w:r>
      <w:r>
        <w:br/>
      </w:r>
      <w:r>
        <w:br/>
        <w:t>Impact:</w:t>
      </w:r>
      <w:r>
        <w:br/>
        <w:t>- Chemistry and biology: new hypotheses on prebiotic pathways.</w:t>
      </w:r>
      <w:r>
        <w:br/>
        <w:t>- Computer science: benchmarks for AI and HPC applied to complex, nonlinear systems.</w:t>
      </w:r>
      <w:r>
        <w:br/>
        <w:t>- Society and education: freely available simulation tools and datasets, enhancing accessibility of complex science.</w:t>
      </w:r>
    </w:p>
    <w:p w14:paraId="21CDFAF7" w14:textId="77777777" w:rsidR="00284473" w:rsidRDefault="00000000">
      <w:pPr>
        <w:pStyle w:val="Nagwek1"/>
      </w:pPr>
      <w:r>
        <w:t>3. Concept and research plan</w:t>
      </w:r>
    </w:p>
    <w:p w14:paraId="7621890E" w14:textId="77777777" w:rsidR="00284473" w:rsidRDefault="00000000">
      <w:r>
        <w:t>General concept: Build a simulation system with two complementary modes:</w:t>
      </w:r>
      <w:r>
        <w:br/>
        <w:t>- Preset Prebiotic Mode (A): reproduces known reactions for validation.</w:t>
      </w:r>
      <w:r>
        <w:br/>
      </w:r>
      <w:r>
        <w:lastRenderedPageBreak/>
        <w:t>- Open Chemistry Mode (B): allows emergence of new molecules, species, and reactions.</w:t>
      </w:r>
      <w:r>
        <w:br/>
      </w:r>
      <w:r>
        <w:br/>
        <w:t>Research objectives:</w:t>
      </w:r>
      <w:r>
        <w:br/>
        <w:t>1. Develop a scalable 2D particle engine (GPU-first, adaptive timestep).</w:t>
      </w:r>
      <w:r>
        <w:br/>
        <w:t>2. Implement open-ended bond formation, mutation, and novelty cataloguing.</w:t>
      </w:r>
      <w:r>
        <w:br/>
        <w:t>3. Integrate AI modules for reaction discovery and stability prediction.</w:t>
      </w:r>
      <w:r>
        <w:br/>
        <w:t>4. Validate simulations against literature data.</w:t>
      </w:r>
      <w:r>
        <w:br/>
        <w:t>5. Release software, datasets, and scientific publications.</w:t>
      </w:r>
      <w:r>
        <w:br/>
      </w:r>
      <w:r>
        <w:br/>
        <w:t>Preliminary work: A v1 prototype has been implemented in Python/Taichi with initial functionality for energy diffusion, bond formation, novelty detection, and visualization.</w:t>
      </w:r>
      <w:r>
        <w:br/>
      </w:r>
      <w:r>
        <w:br/>
        <w:t>Work plan and milestones:</w:t>
      </w:r>
      <w:r>
        <w:br/>
        <w:t>- M1–M6: Engine development and preset mode validation.</w:t>
      </w:r>
      <w:r>
        <w:br/>
        <w:t>- M7–M18: Open Chemistry implementation and novelty metrics.</w:t>
      </w:r>
      <w:r>
        <w:br/>
        <w:t>- M19–M30: AI integration (GNN, LSTM, RL).</w:t>
      </w:r>
      <w:r>
        <w:br/>
        <w:t>- M31–M36: Consolidation, publications, and release.</w:t>
      </w:r>
      <w:r>
        <w:br/>
      </w:r>
      <w:r>
        <w:br/>
        <w:t>Risk analysis: Risks include computational instability, high resource demands, or lack of emergent phenomena. Mitigation includes adaptive algorithms, HPC access, and parameter sweeps guided by AI.</w:t>
      </w:r>
    </w:p>
    <w:p w14:paraId="7F93C82E" w14:textId="77777777" w:rsidR="00284473" w:rsidRDefault="00000000">
      <w:pPr>
        <w:pStyle w:val="Nagwek1"/>
      </w:pPr>
      <w:r>
        <w:t>4. Methodology</w:t>
      </w:r>
    </w:p>
    <w:p w14:paraId="637394B4" w14:textId="77777777" w:rsidR="00284473" w:rsidRDefault="00000000">
      <w:r>
        <w:t>- Simulation methods: particle-based dynamics, local interactions, stochastic mutation events.</w:t>
      </w:r>
      <w:r>
        <w:br/>
        <w:t>- Analysis tools: bond-graph hashing, novelty counters, trajectory statistics.</w:t>
      </w:r>
      <w:r>
        <w:br/>
        <w:t>- AI integration: GNNs for stability prediction, LSTMs for temporal dynamics, RL agents for optimizing conditions.</w:t>
      </w:r>
      <w:r>
        <w:br/>
        <w:t>- Infrastructure: GPU clusters (Taichi/CUDA), FastAPI backend, React/TS frontend, Git-based version control.</w:t>
      </w:r>
      <w:r>
        <w:br/>
        <w:t>- Validation: reproduction of experimental benchmarks and comparative metrics with published prebiotic data.</w:t>
      </w:r>
    </w:p>
    <w:p w14:paraId="641CB14E" w14:textId="77777777" w:rsidR="00284473" w:rsidRDefault="00000000">
      <w:pPr>
        <w:pStyle w:val="Nagwek1"/>
      </w:pPr>
      <w:r>
        <w:t>5. Research team and qualifications</w:t>
      </w:r>
    </w:p>
    <w:p w14:paraId="3BCAD71A" w14:textId="77777777" w:rsidR="00284473" w:rsidRDefault="00000000">
      <w:r>
        <w:t>- Principal Investigator: Michał Klawikowski – expertise in AI, computational frameworks, interdisciplinary projects.</w:t>
      </w:r>
      <w:r>
        <w:br/>
        <w:t>- Collaborators (planned):</w:t>
      </w:r>
      <w:r>
        <w:br/>
        <w:t xml:space="preserve">  * Computational chemist (University of Gdańsk / PAN).</w:t>
      </w:r>
      <w:r>
        <w:br/>
        <w:t xml:space="preserve">  * HPC specialist (Gdańsk University of Technology / TASK).</w:t>
      </w:r>
      <w:r>
        <w:br/>
        <w:t xml:space="preserve">  * Bioinformatics/biochemistry consultant (Medical University of Gdańsk).</w:t>
      </w:r>
      <w:r>
        <w:br/>
      </w:r>
      <w:r>
        <w:br/>
      </w:r>
      <w:r>
        <w:lastRenderedPageBreak/>
        <w:t>The PI has experience in simulation frameworks and AI-driven systems; the team ensures a balance of computational and chemical expertise.</w:t>
      </w:r>
    </w:p>
    <w:p w14:paraId="6FAACB25" w14:textId="77777777" w:rsidR="00284473" w:rsidRDefault="00000000">
      <w:pPr>
        <w:pStyle w:val="Nagwek1"/>
      </w:pPr>
      <w:r>
        <w:t>6. References</w:t>
      </w:r>
    </w:p>
    <w:p w14:paraId="06404E52" w14:textId="77777777" w:rsidR="00284473" w:rsidRDefault="00000000">
      <w:r>
        <w:t>Miller, S. L. (1953). A production of amino acids under possible primitive Earth conditions. Science, 117(3046), 528–529.</w:t>
      </w:r>
      <w:r>
        <w:br/>
        <w:t>Orgel, L. E. (2004). Prebiotic chemistry and the origin of the RNA world. Critical Reviews in Biochemistry and Molecular Biology, 39(2), 99–123.</w:t>
      </w:r>
      <w:r>
        <w:br/>
        <w:t>Patel, B. H., Percivalle, C., Ritson, D. J., Duffy, C. D., &amp; Sutherland, J. D. (2015). Common origins of RNA, protein and lipid precursors in a cyanosulfidic protometabolism. Nature Chemistry, 7(4), 301–307.</w:t>
      </w:r>
      <w:r>
        <w:br/>
        <w:t>Kauffman, S. A. (1993). The Origins of Order: Self-Organization and Selection in Evolution. Oxford University Press.</w:t>
      </w:r>
      <w:r>
        <w:br/>
        <w:t>Woese, C. (1998). The universal ancestor. Proceedings of the National Academy of Sciences, 95(12), 6854–6859.</w:t>
      </w:r>
      <w:r>
        <w:br/>
        <w:t>Jumper, J. et al. (2021). Highly accurate protein structure prediction with AlphaFold. Nature, 596(7873), 583–589.</w:t>
      </w:r>
    </w:p>
    <w:sectPr w:rsidR="002844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880782404">
    <w:abstractNumId w:val="8"/>
  </w:num>
  <w:num w:numId="2" w16cid:durableId="1361320568">
    <w:abstractNumId w:val="6"/>
  </w:num>
  <w:num w:numId="3" w16cid:durableId="1838884751">
    <w:abstractNumId w:val="5"/>
  </w:num>
  <w:num w:numId="4" w16cid:durableId="567305995">
    <w:abstractNumId w:val="4"/>
  </w:num>
  <w:num w:numId="5" w16cid:durableId="1443037881">
    <w:abstractNumId w:val="7"/>
  </w:num>
  <w:num w:numId="6" w16cid:durableId="886457162">
    <w:abstractNumId w:val="3"/>
  </w:num>
  <w:num w:numId="7" w16cid:durableId="997997799">
    <w:abstractNumId w:val="2"/>
  </w:num>
  <w:num w:numId="8" w16cid:durableId="1686130113">
    <w:abstractNumId w:val="1"/>
  </w:num>
  <w:num w:numId="9" w16cid:durableId="1802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473"/>
    <w:rsid w:val="0029639D"/>
    <w:rsid w:val="00326F90"/>
    <w:rsid w:val="00AA1D8D"/>
    <w:rsid w:val="00B47730"/>
    <w:rsid w:val="00CB0664"/>
    <w:rsid w:val="00E7740D"/>
    <w:rsid w:val="00E82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89B39"/>
  <w14:defaultImageDpi w14:val="300"/>
  <w15:docId w15:val="{66355623-26CB-49F7-A737-DD78339C9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Michał Klawikowski</cp:lastModifiedBy>
  <cp:revision>2</cp:revision>
  <dcterms:created xsi:type="dcterms:W3CDTF">2025-09-30T14:18:00Z</dcterms:created>
  <dcterms:modified xsi:type="dcterms:W3CDTF">2025-09-30T14:18:00Z</dcterms:modified>
  <cp:category/>
</cp:coreProperties>
</file>