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BAD3" w14:textId="77777777" w:rsidR="00126FEA" w:rsidRDefault="00000000">
      <w:pPr>
        <w:pStyle w:val="Tytu"/>
      </w:pPr>
      <w:r>
        <w:t>Live 2.0 – Short Description (NCN OPUS)</w:t>
      </w:r>
    </w:p>
    <w:p w14:paraId="7028F390" w14:textId="77777777" w:rsidR="00126FEA" w:rsidRDefault="00000000">
      <w:pPr>
        <w:pStyle w:val="Nagwek1"/>
      </w:pPr>
      <w:r>
        <w:t>1. Scientific goal of the project</w:t>
      </w:r>
    </w:p>
    <w:p w14:paraId="6E14BD04" w14:textId="77777777" w:rsidR="00126FEA" w:rsidRDefault="00000000">
      <w:r>
        <w:t>The Live 2.0 project addresses one of the most fundamental questions in science: How can life emerge from non-living matter? The aim is to develop an open, GPU-powered simulation platform capable of modeling prebiotic chemistry and detecting emergent properties that may have led to the origins of life. The central hypotheses are:</w:t>
      </w:r>
      <w:r>
        <w:br/>
        <w:t>- detailed particle-based simulations can reproduce known prebiotic reactions (e.g. Miller–Urey, formose, HCN pathways) with high fidelity,</w:t>
      </w:r>
      <w:r>
        <w:br/>
        <w:t>- machine learning can accelerate the discovery of new reaction pathways and emergent phenomena such as autocatalysis, proto-membrane formation, and prebiotic polymerization,</w:t>
      </w:r>
      <w:r>
        <w:br/>
        <w:t>- quantitative novelty metrics can be defined and used as indicators of 'life-like' behavior in chemical systems.</w:t>
      </w:r>
    </w:p>
    <w:p w14:paraId="2CA43D43" w14:textId="77777777" w:rsidR="00126FEA" w:rsidRDefault="00000000">
      <w:pPr>
        <w:pStyle w:val="Nagwek1"/>
      </w:pPr>
      <w:r>
        <w:t>2. Significance of the project</w:t>
      </w:r>
    </w:p>
    <w:p w14:paraId="33CF0217" w14:textId="77777777" w:rsidR="00126FEA" w:rsidRDefault="00000000">
      <w:r>
        <w:t>State of the art: Experimental studies have identified plausible prebiotic reactions, but systematic exploration of chemical complexity is limited by laboratory constraints. Computational chemistry has advanced in quantum and molecular dynamics modeling, yet most approaches rely on predefined species and reaction lists.</w:t>
      </w:r>
      <w:r>
        <w:br/>
      </w:r>
      <w:r>
        <w:br/>
        <w:t>Novelty and justification: Live 2.0 introduces an open chemistry framework, where new species and reactions can emerge dynamically from local particle interactions, without being limited to a fixed catalogue. This is combined with real-time novelty detection and AI-guided exploration. Such an approach is unprecedented and could provide fresh insights into origins-of-life research, bridging chemistry, computer science, and complex systems theory.</w:t>
      </w:r>
      <w:r>
        <w:br/>
      </w:r>
      <w:r>
        <w:br/>
        <w:t>Expected impact:</w:t>
      </w:r>
      <w:r>
        <w:br/>
        <w:t>- For chemistry and biology: new hypotheses about pathways to life.</w:t>
      </w:r>
      <w:r>
        <w:br/>
        <w:t>- For computer science: benchmarks for AI applied to highly non-linear systems.</w:t>
      </w:r>
      <w:r>
        <w:br/>
        <w:t>- For education and outreach: open-source tools enabling students and researchers worldwide to study prebiotic chemistry interactively.</w:t>
      </w:r>
    </w:p>
    <w:p w14:paraId="27900286" w14:textId="77777777" w:rsidR="00126FEA" w:rsidRDefault="00000000">
      <w:pPr>
        <w:pStyle w:val="Nagwek1"/>
      </w:pPr>
      <w:r>
        <w:t>3. Concept and research plan</w:t>
      </w:r>
    </w:p>
    <w:p w14:paraId="5ABDA42C" w14:textId="77777777" w:rsidR="00126FEA" w:rsidRDefault="00000000">
      <w:r>
        <w:t>The research plan consists of four interconnected phases:</w:t>
      </w:r>
      <w:r>
        <w:br/>
      </w:r>
      <w:r>
        <w:br/>
      </w:r>
      <w:r>
        <w:lastRenderedPageBreak/>
        <w:t>Phase 1 (Months 1–6): Engine development and validation</w:t>
      </w:r>
      <w:r>
        <w:br/>
        <w:t>- Build GPU-accelerated simulation engine (Taichi/CUDA backend).</w:t>
      </w:r>
      <w:r>
        <w:br/>
        <w:t>- Validate by reproducing simple prebiotic reactions (Miller–Urey, HCN → formamide).</w:t>
      </w:r>
      <w:r>
        <w:br/>
      </w:r>
      <w:r>
        <w:br/>
        <w:t>Phase 2 (Months 7–18): Open Chemistry mode</w:t>
      </w:r>
      <w:r>
        <w:br/>
        <w:t>- Implement dynamic bond formation/breaking and emergence of new species.</w:t>
      </w:r>
      <w:r>
        <w:br/>
        <w:t>- Introduce energy sources (UV flashes, lightning-like pulses).</w:t>
      </w:r>
      <w:r>
        <w:br/>
        <w:t>- Develop novelty detection metrics (graph-based cataloguing).</w:t>
      </w:r>
      <w:r>
        <w:br/>
      </w:r>
      <w:r>
        <w:br/>
        <w:t>Phase 3 (Months 19–30): AI integration</w:t>
      </w:r>
      <w:r>
        <w:br/>
        <w:t>- Apply graph neural networks (GNNs) for stability prediction.</w:t>
      </w:r>
      <w:r>
        <w:br/>
        <w:t>- Use LSTMs to model trajectories and reinforcement learning (RL) to optimize conditions for emergent phenomena.</w:t>
      </w:r>
      <w:r>
        <w:br/>
      </w:r>
      <w:r>
        <w:br/>
        <w:t>Phase 4 (Months 31–36): Consolidation and dissemination</w:t>
      </w:r>
      <w:r>
        <w:br/>
        <w:t>- Full release of Live 2.0 platform (open-source).</w:t>
      </w:r>
      <w:r>
        <w:br/>
        <w:t>- Publications and dataset deposition in Zenodo/FAIR repositories.</w:t>
      </w:r>
      <w:r>
        <w:br/>
        <w:t>- Outreach (tutorials, workshops).</w:t>
      </w:r>
      <w:r>
        <w:br/>
      </w:r>
      <w:r>
        <w:br/>
        <w:t>Risk analysis: Key risks include numerical instability, excessive computational costs, and lack of emergent behavior. Mitigations: adaptive timestep algorithms, access to HPC infrastructure, parameter sweeps guided by AI.</w:t>
      </w:r>
      <w:r>
        <w:br/>
      </w:r>
      <w:r>
        <w:br/>
        <w:t>A Gantt chart with milestones (engine ready, open chemistry implemented, AI integration, release) will be included in the final submission.</w:t>
      </w:r>
    </w:p>
    <w:p w14:paraId="38500F7D" w14:textId="77777777" w:rsidR="00126FEA" w:rsidRDefault="00000000">
      <w:pPr>
        <w:pStyle w:val="Nagwek1"/>
      </w:pPr>
      <w:r>
        <w:t>4. Methodology</w:t>
      </w:r>
    </w:p>
    <w:p w14:paraId="726F10A3" w14:textId="77777777" w:rsidR="00126FEA" w:rsidRDefault="00000000">
      <w:r>
        <w:t>- Simulation techniques: particle-based dynamics, local potentials, adaptive timestep, periodic boundaries.</w:t>
      </w:r>
      <w:r>
        <w:br/>
        <w:t>- Data handling: real-time cataloguing of emergent molecules via graph hashing, novelty tracking.</w:t>
      </w:r>
      <w:r>
        <w:br/>
        <w:t>- AI methods: GNNs, LSTMs, RL agents.</w:t>
      </w:r>
      <w:r>
        <w:br/>
        <w:t>- Tools: Taichi/CUDA for GPU computing, FastAPI for backend, React for visualization, Git for versioning.</w:t>
      </w:r>
      <w:r>
        <w:br/>
        <w:t>- Validation: comparison with published experimental data, long-run tests ensuring sustained novelty generation.</w:t>
      </w:r>
    </w:p>
    <w:p w14:paraId="29DE4270" w14:textId="77777777" w:rsidR="00126FEA" w:rsidRDefault="00000000">
      <w:pPr>
        <w:pStyle w:val="Nagwek1"/>
      </w:pPr>
      <w:r>
        <w:t>5. Team composition and qualifications</w:t>
      </w:r>
    </w:p>
    <w:p w14:paraId="4EA79B07" w14:textId="77777777" w:rsidR="00126FEA" w:rsidRDefault="00000000">
      <w:r>
        <w:t>- Principal Investigator: Michał Klawikowski – background in AI, software engineering, and interdisciplinary science projects.</w:t>
      </w:r>
      <w:r>
        <w:br/>
        <w:t>- Planned collaborators:</w:t>
      </w:r>
      <w:r>
        <w:br/>
      </w:r>
      <w:r>
        <w:lastRenderedPageBreak/>
        <w:t xml:space="preserve">  * Computational chemistry expert (University of Gdańsk / Polish Academy of Sciences).</w:t>
      </w:r>
      <w:r>
        <w:br/>
        <w:t xml:space="preserve">  * HPC specialist (Gdańsk University of Technology / TASK center).</w:t>
      </w:r>
      <w:r>
        <w:br/>
        <w:t xml:space="preserve">  * Bioinformatics/biochemistry consultant (Medical University of Gdańsk).</w:t>
      </w:r>
      <w:r>
        <w:br/>
      </w:r>
      <w:r>
        <w:br/>
        <w:t>The PI has experience in developing simulation frameworks and AI-driven systems. The consortium will ensure complementary expertise in chemistry, computer science, and life sciences.</w:t>
      </w:r>
    </w:p>
    <w:p w14:paraId="0EF33B4E" w14:textId="77777777" w:rsidR="00126FEA" w:rsidRDefault="00000000">
      <w:pPr>
        <w:pStyle w:val="Nagwek1"/>
      </w:pPr>
      <w:r>
        <w:t>6. References</w:t>
      </w:r>
    </w:p>
    <w:p w14:paraId="2436D80F" w14:textId="77777777" w:rsidR="00126FEA" w:rsidRDefault="00000000">
      <w:r>
        <w:t>Miller, S. L. (1953). A production of amino acids under possible primitive Earth conditions. Science, 117(3046), 528–529.</w:t>
      </w:r>
      <w:r>
        <w:br/>
        <w:t>Orgel, L. E. (2004). Prebiotic chemistry and the origin of the RNA world. Critical Reviews in Biochemistry and Molecular Biology, 39(2), 99–123.</w:t>
      </w:r>
      <w:r>
        <w:br/>
        <w:t>Patel, B. H., Percivalle, C., Ritson, D. J., Duffy, C. D., &amp; Sutherland, J. D. (2015). Common origins of RNA, protein and lipid precursors in a cyanosulfidic protometabolism. Nature Chemistry, 7(4), 301–307.</w:t>
      </w:r>
      <w:r>
        <w:br/>
        <w:t>Kauffman, S. A. (1993). The Origins of Order: Self-Organization and Selection in Evolution. Oxford University Press.</w:t>
      </w:r>
      <w:r>
        <w:br/>
        <w:t>Woese, C. (1998). The universal ancestor. Proceedings of the National Academy of Sciences, 95(12), 6854–6859.</w:t>
      </w:r>
      <w:r>
        <w:br/>
        <w:t>Jumper, J. et al. (2021). Highly accurate protein structure prediction with AlphaFold. Nature, 596(7873), 583–589.</w:t>
      </w:r>
    </w:p>
    <w:sectPr w:rsidR="00126F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378430531">
    <w:abstractNumId w:val="8"/>
  </w:num>
  <w:num w:numId="2" w16cid:durableId="1483885621">
    <w:abstractNumId w:val="6"/>
  </w:num>
  <w:num w:numId="3" w16cid:durableId="110635766">
    <w:abstractNumId w:val="5"/>
  </w:num>
  <w:num w:numId="4" w16cid:durableId="1764911902">
    <w:abstractNumId w:val="4"/>
  </w:num>
  <w:num w:numId="5" w16cid:durableId="987634129">
    <w:abstractNumId w:val="7"/>
  </w:num>
  <w:num w:numId="6" w16cid:durableId="1657222505">
    <w:abstractNumId w:val="3"/>
  </w:num>
  <w:num w:numId="7" w16cid:durableId="1807428218">
    <w:abstractNumId w:val="2"/>
  </w:num>
  <w:num w:numId="8" w16cid:durableId="2123649183">
    <w:abstractNumId w:val="1"/>
  </w:num>
  <w:num w:numId="9" w16cid:durableId="3471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FEA"/>
    <w:rsid w:val="0015074B"/>
    <w:rsid w:val="0029639D"/>
    <w:rsid w:val="00326F90"/>
    <w:rsid w:val="0044762F"/>
    <w:rsid w:val="00AA1D8D"/>
    <w:rsid w:val="00B47730"/>
    <w:rsid w:val="00CB0664"/>
    <w:rsid w:val="00FC693F"/>
    <w:rsid w:val="00FF3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2FE57"/>
  <w14:defaultImageDpi w14:val="300"/>
  <w15:docId w15:val="{3EC750DB-6379-4D43-8E96-B3027966C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740</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Michał Klawikowski</cp:lastModifiedBy>
  <cp:revision>2</cp:revision>
  <dcterms:created xsi:type="dcterms:W3CDTF">2025-09-30T14:09:00Z</dcterms:created>
  <dcterms:modified xsi:type="dcterms:W3CDTF">2025-09-30T14:09:00Z</dcterms:modified>
  <cp:category/>
</cp:coreProperties>
</file>