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Hizmet Sözleşmesi</w:t>
      </w:r>
    </w:p>
    <w:p>
      <w:pPr>
        <w:jc w:val="center"/>
      </w:pPr>
      <w:r>
        <w:drawing>
          <wp:inline xmlns:a="http://schemas.openxmlformats.org/drawingml/2006/main" xmlns:pic="http://schemas.openxmlformats.org/drawingml/2006/picture">
            <wp:extent cx="1800000" cy="9000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800000" cy="900000"/>
                    </a:xfrm>
                    <a:prstGeom prst="rect"/>
                  </pic:spPr>
                </pic:pic>
              </a:graphicData>
            </a:graphic>
          </wp:inline>
        </w:drawing>
      </w:r>
    </w:p>
    <w:p>
      <w:pPr>
        <w:pStyle w:val="Heading1"/>
      </w:pPr>
      <w:r>
        <w:t>1. Taraflar ve Konu</w:t>
      </w:r>
    </w:p>
    <w:p>
      <w:pPr>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r>
        <w:rPr>
          <w:b/>
        </w:rPr>
        <w:t xml:space="preserve">Kalın metin, </w:t>
      </w:r>
      <w:r>
        <w:rPr>
          <w:i/>
        </w:rPr>
        <w:t xml:space="preserve">eğik metin, </w:t>
      </w:r>
      <w:r>
        <w:rPr>
          <w:u w:val="single"/>
        </w:rPr>
        <w:t xml:space="preserve">altı çizili metin </w:t>
      </w:r>
      <w:r>
        <w:rPr>
          <w:rFonts w:ascii="Times New Roman" w:hAnsi="Times New Roman"/>
          <w:color w:val="B91C1C"/>
          <w:sz w:val="28"/>
        </w:rPr>
        <w:t>ve renkli Times New Roman 14 punto.</w:t>
      </w:r>
    </w:p>
    <w:p>
      <w:pPr>
        <w:pStyle w:val="Heading1"/>
      </w:pPr>
      <w:r>
        <w:t>2. Yükümlülükler</w:t>
      </w:r>
    </w:p>
    <w:p>
      <w:pPr>
        <w:pStyle w:val="ListBullet"/>
      </w:pPr>
      <w:r>
        <w:t>Ürünün zamanında teslimi</w:t>
      </w:r>
    </w:p>
    <w:p>
      <w:pPr>
        <w:pStyle w:val="ListBullet"/>
      </w:pPr>
      <w:r>
        <w:t>Kurulum ve eğitim desteği</w:t>
      </w:r>
    </w:p>
    <w:p>
      <w:pPr>
        <w:pStyle w:val="ListBullet"/>
      </w:pPr>
      <w:r>
        <w:t>On iki ay boyunca güncelleme</w:t>
      </w:r>
    </w:p>
    <w:p>
      <w:pPr>
        <w:pStyle w:val="ListNumber"/>
      </w:pPr>
      <w:r>
        <w:t>Sipariş onayı</w:t>
      </w:r>
    </w:p>
    <w:p>
      <w:pPr>
        <w:pStyle w:val="ListNumber"/>
      </w:pPr>
      <w:r>
        <w:t>Ön ödeme</w:t>
      </w:r>
    </w:p>
    <w:p>
      <w:pPr>
        <w:pStyle w:val="ListNumber"/>
      </w:pPr>
      <w:r>
        <w:t>Teslimat ve kabul</w:t>
      </w:r>
    </w:p>
    <w:p>
      <w:pPr>
        <w:pStyle w:val="Heading1"/>
      </w:pPr>
      <w:r>
        <w:t>3. Ödeme Planı</w:t>
      </w:r>
    </w:p>
    <w:tbl>
      <w:tblPr>
        <w:tblStyle w:val="LightGrid-Accent1"/>
        <w:tblW w:type="auto" w:w="0"/>
        <w:jc w:val="center"/>
        <w:tblLook w:firstColumn="1" w:firstRow="1" w:lastColumn="0" w:lastRow="0" w:noHBand="0" w:noVBand="1" w:val="04A0"/>
      </w:tblPr>
      <w:tblGrid>
        <w:gridCol w:w="2268"/>
        <w:gridCol w:w="2268"/>
        <w:gridCol w:w="2268"/>
        <w:gridCol w:w="2268"/>
      </w:tblGrid>
      <w:tr>
        <w:tc>
          <w:tcPr>
            <w:tcW w:type="dxa" w:w="2268"/>
          </w:tcPr>
          <w:p>
            <w:r>
              <w:t>Taksit</w:t>
            </w:r>
          </w:p>
        </w:tc>
        <w:tc>
          <w:tcPr>
            <w:tcW w:type="dxa" w:w="2268"/>
          </w:tcPr>
          <w:p>
            <w:r>
              <w:t>Vade</w:t>
            </w:r>
          </w:p>
        </w:tc>
        <w:tc>
          <w:tcPr>
            <w:tcW w:type="dxa" w:w="2268"/>
          </w:tcPr>
          <w:p>
            <w:r>
              <w:t>Tutar (₺)</w:t>
            </w:r>
          </w:p>
        </w:tc>
        <w:tc>
          <w:tcPr>
            <w:tcW w:type="dxa" w:w="2268"/>
          </w:tcPr>
          <w:p>
            <w:r>
              <w:t>Açıklama</w:t>
            </w:r>
          </w:p>
        </w:tc>
      </w:tr>
      <w:tr>
        <w:tc>
          <w:tcPr>
            <w:tcW w:type="dxa" w:w="2268"/>
          </w:tcPr>
          <w:p>
            <w:r>
              <w:t>1</w:t>
            </w:r>
          </w:p>
        </w:tc>
        <w:tc>
          <w:tcPr>
            <w:tcW w:type="dxa" w:w="2268"/>
          </w:tcPr>
          <w:p>
            <w:r>
              <w:t>14.11.2026</w:t>
            </w:r>
          </w:p>
        </w:tc>
        <w:tc>
          <w:tcPr>
            <w:tcW w:type="dxa" w:w="2268"/>
          </w:tcPr>
          <w:p>
            <w:r>
              <w:t>12.500,00</w:t>
            </w:r>
          </w:p>
        </w:tc>
        <w:tc>
          <w:tcPr>
            <w:tcW w:type="dxa" w:w="2268"/>
          </w:tcPr>
          <w:p>
            <w:r>
              <w:t>Banka havalesi</w:t>
            </w:r>
          </w:p>
        </w:tc>
      </w:tr>
      <w:tr>
        <w:tc>
          <w:tcPr>
            <w:tcW w:type="dxa" w:w="2268"/>
          </w:tcPr>
          <w:p>
            <w:r>
              <w:t>2</w:t>
            </w:r>
          </w:p>
        </w:tc>
        <w:tc>
          <w:tcPr>
            <w:tcW w:type="dxa" w:w="2268"/>
          </w:tcPr>
          <w:p>
            <w:r>
              <w:t>14.12.2026</w:t>
            </w:r>
          </w:p>
        </w:tc>
        <w:tc>
          <w:tcPr>
            <w:tcW w:type="dxa" w:w="2268"/>
          </w:tcPr>
          <w:p>
            <w:r>
              <w:t>25.000,00</w:t>
            </w:r>
          </w:p>
        </w:tc>
        <w:tc>
          <w:tcPr>
            <w:tcW w:type="dxa" w:w="2268"/>
          </w:tcPr>
          <w:p>
            <w:r>
              <w:t>Kredi kartı</w:t>
            </w:r>
          </w:p>
        </w:tc>
      </w:tr>
      <w:tr>
        <w:tc>
          <w:tcPr>
            <w:tcW w:type="dxa" w:w="2268"/>
          </w:tcPr>
          <w:p>
            <w:r>
              <w:t>3</w:t>
            </w:r>
          </w:p>
        </w:tc>
        <w:tc>
          <w:tcPr>
            <w:tcW w:type="dxa" w:w="2268"/>
          </w:tcPr>
          <w:p>
            <w:r>
              <w:t>13.01.2027</w:t>
            </w:r>
          </w:p>
        </w:tc>
        <w:tc>
          <w:tcPr>
            <w:tcW w:type="dxa" w:w="2268"/>
          </w:tcPr>
          <w:p>
            <w:r>
              <w:t>37.500,00</w:t>
            </w:r>
          </w:p>
        </w:tc>
        <w:tc>
          <w:tcPr>
            <w:tcW w:type="dxa" w:w="2268"/>
          </w:tcPr>
          <w:p>
            <w:r>
              <w:t>Banka havalesi</w:t>
            </w:r>
          </w:p>
        </w:tc>
      </w:tr>
      <w:tr>
        <w:tc>
          <w:tcPr>
            <w:tcW w:type="dxa" w:w="2268"/>
          </w:tcPr>
          <w:p>
            <w:r>
              <w:t>4</w:t>
            </w:r>
          </w:p>
        </w:tc>
        <w:tc>
          <w:tcPr>
            <w:tcW w:type="dxa" w:w="2268"/>
          </w:tcPr>
          <w:p>
            <w:r>
              <w:t>12.02.2027</w:t>
            </w:r>
          </w:p>
        </w:tc>
        <w:tc>
          <w:tcPr>
            <w:tcW w:type="dxa" w:w="2268"/>
          </w:tcPr>
          <w:p>
            <w:r>
              <w:t>50.000,00</w:t>
            </w:r>
          </w:p>
        </w:tc>
        <w:tc>
          <w:tcPr>
            <w:tcW w:type="dxa" w:w="2268"/>
          </w:tcPr>
          <w:p>
            <w:r>
              <w:t>Kredi kartı</w:t>
            </w:r>
          </w:p>
        </w:tc>
      </w:tr>
      <w:tr>
        <w:tc>
          <w:tcPr>
            <w:tcW w:type="dxa" w:w="2268"/>
          </w:tcPr>
          <w:p>
            <w:r>
              <w:t>5</w:t>
            </w:r>
          </w:p>
        </w:tc>
        <w:tc>
          <w:tcPr>
            <w:tcW w:type="dxa" w:w="2268"/>
          </w:tcPr>
          <w:p>
            <w:r>
              <w:t>14.03.2027</w:t>
            </w:r>
          </w:p>
        </w:tc>
        <w:tc>
          <w:tcPr>
            <w:tcW w:type="dxa" w:w="2268"/>
          </w:tcPr>
          <w:p>
            <w:r>
              <w:t>62.500,00</w:t>
            </w:r>
          </w:p>
        </w:tc>
        <w:tc>
          <w:tcPr>
            <w:tcW w:type="dxa" w:w="2268"/>
          </w:tcPr>
          <w:p>
            <w:r>
              <w:t>Banka havalesi</w:t>
            </w:r>
          </w:p>
        </w:tc>
      </w:tr>
      <w:tr>
        <w:tc>
          <w:tcPr>
            <w:tcW w:type="dxa" w:w="2268"/>
          </w:tcPr>
          <w:p>
            <w:r>
              <w:t>6</w:t>
            </w:r>
          </w:p>
        </w:tc>
        <w:tc>
          <w:tcPr>
            <w:tcW w:type="dxa" w:w="2268"/>
          </w:tcPr>
          <w:p>
            <w:r>
              <w:t>13.04.2027</w:t>
            </w:r>
          </w:p>
        </w:tc>
        <w:tc>
          <w:tcPr>
            <w:tcW w:type="dxa" w:w="2268"/>
          </w:tcPr>
          <w:p>
            <w:r>
              <w:t>75.000,00</w:t>
            </w:r>
          </w:p>
        </w:tc>
        <w:tc>
          <w:tcPr>
            <w:tcW w:type="dxa" w:w="2268"/>
          </w:tcPr>
          <w:p>
            <w:r>
              <w:t>Kredi kartı</w:t>
            </w:r>
          </w:p>
        </w:tc>
      </w:tr>
    </w:tbl>
    <w:p>
      <w:r>
        <w:br w:type="page"/>
      </w:r>
    </w:p>
    <w:p>
      <w:pPr>
        <w:pStyle w:val="Heading1"/>
      </w:pPr>
      <w:r>
        <w:t>4. Genel Hükümler</w:t>
      </w:r>
    </w:p>
    <w:p>
      <w:pPr>
        <w:spacing w:after="160"/>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pPr>
        <w:spacing w:after="160"/>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pPr>
        <w:spacing w:after="160"/>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pPr>
        <w:spacing w:after="160"/>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pPr>
        <w:spacing w:after="160"/>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pPr>
        <w:spacing w:after="160"/>
        <w:jc w:val="both"/>
      </w:pPr>
      <w:r>
        <w:t>İşbu sözleşme, taraflar arasında karşılıklı görüşmeler sonucunda özgür iradeleriyle düzenlenmiş olup yükümlülükler, ödeme koşulları ve teslim süreleri aşağıdaki maddelerde ayrıntılı biçimde açıklanmıştır. Şirket, çözüm ortağı olarak ürünün güncel sürümünü eksiksiz teslim etmeyi; müşteri ise ödemeyi kararlaştırılan tarihte yapmayı kabul, beyan ve taahhüt eder. Türkçe karakter sınaması: ığüşöç İĞÜŞÖÇ.</w:t>
      </w:r>
    </w:p>
    <w:p>
      <w:r>
        <w:br/>
        <w:br/>
        <w:t>Müşteri                                                        Şirket</w:t>
      </w:r>
    </w:p>
    <w:sectPr w:rsidR="00FC693F" w:rsidRPr="0006063C" w:rsidSect="00034616">
      <w:headerReference w:type="default" r:id="rId9"/>
      <w:footerReference w:type="default" r:id="rId10"/>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Gizlidir • Sayfa altbilgisi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DocMaster Pro — Hizmet Sözleşmesi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