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A1A1A"/>
          <w:sz w:val="44"/>
          <w:szCs w:val="44"/>
        </w:rPr>
        <w:t xml:space="preserve">THE RECHARGE PRO STACK</w:t>
      </w:r>
    </w:p>
    <w:p>
      <w:pPr>
        <w:spacing w:after="200"/>
      </w:pPr>
      <w:r>
        <w:rPr>
          <w:color w:val="4C4C4C"/>
          <w:sz w:val="28"/>
          <w:szCs w:val="28"/>
        </w:rPr>
        <w:t xml:space="preserve">An Integrated Workforce Wellness System for Construction</w:t>
      </w:r>
    </w:p>
    <w:p>
      <w:pPr>
        <w:spacing w:after="600"/>
      </w:pPr>
      <w:r>
        <w:rPr>
          <w:i/>
          <w:iCs/>
          <w:color w:val="6CC04A"/>
          <w:sz w:val="24"/>
          <w:szCs w:val="24"/>
        </w:rPr>
        <w:t xml:space="preserve">Scientific Foundation and Business Case</w:t>
      </w:r>
    </w:p>
    <w:p>
      <w:pPr>
        <w:pBdr>
          <w:bottom w:val="single" w:color="6CC04A" w:sz="12" w:space="4"/>
        </w:pBdr>
        <w:spacing w:after="240"/>
      </w:pPr>
      <w:r>
        <w:t xml:space="preserve"/>
      </w:r>
    </w:p>
    <w:p>
      <w:pPr>
        <w:spacing w:after="240"/>
      </w:pPr>
      <w:r>
        <w:rPr>
          <w:color w:val="1A1A1A"/>
          <w:sz w:val="22"/>
          <w:szCs w:val="22"/>
        </w:rPr>
        <w:t xml:space="preserve">Prepared for: The Weitz Company Executive Leadership</w:t>
      </w:r>
    </w:p>
    <w:p>
      <w:pPr>
        <w:spacing w:after="120"/>
      </w:pPr>
      <w:r>
        <w:rPr>
          <w:color w:val="1A1A1A"/>
          <w:sz w:val="22"/>
          <w:szCs w:val="22"/>
        </w:rPr>
        <w:t xml:space="preserve">Prepared by: Rich Ganley, on behalf of Recharge Pro and the Positive Impact Alliance</w:t>
      </w:r>
    </w:p>
    <w:p>
      <w:pPr>
        <w:spacing w:after="1200"/>
      </w:pPr>
      <w:r>
        <w:rPr>
          <w:i/>
          <w:iCs/>
          <w:color w:val="4C4C4C"/>
          <w:sz w:val="22"/>
          <w:szCs w:val="22"/>
        </w:rPr>
        <w:t xml:space="preserve">First in a series for general contractors, building trades unions, and trade associations</w:t>
      </w:r>
    </w:p>
    <w:p>
      <w:r>
        <w:rPr>
          <w:i/>
          <w:iCs/>
          <w:color w:val="1A1A1A"/>
          <w:sz w:val="24"/>
          <w:szCs w:val="24"/>
        </w:rPr>
        <w:t xml:space="preserve">Construction has the second-highest suicide rate of any U.S. industry. The opioid overdose mortality rate is six to seven times the national average. Workers' compensation, turnover, and absenteeism carry the cost. This document presents an evidence-based integrated solution and the math that justifies it.</w:t>
      </w:r>
    </w:p>
    <w:p>
      <w:r>
        <w:br w:type="page"/>
      </w:r>
    </w:p>
    <w:p>
      <w:pPr>
        <w:pStyle w:val="Heading1"/>
        <w:spacing w:after="200" w:before="360"/>
      </w:pPr>
      <w:r>
        <w:t xml:space="preserve">Contents</w:t>
      </w:r>
    </w:p>
    <w:p>
      <w:pPr>
        <w:spacing w:after="160" w:line="300"/>
      </w:pPr>
      <w:r>
        <w:t xml:space="preserve">1. The Problem in Construction's Own Numbers</w:t>
      </w:r>
    </w:p>
    <w:p>
      <w:pPr>
        <w:spacing w:after="160" w:line="300"/>
      </w:pPr>
      <w:r>
        <w:t xml:space="preserve">2. Why Single-Component Wellness Programs Fail</w:t>
      </w:r>
    </w:p>
    <w:p>
      <w:pPr>
        <w:spacing w:after="160" w:line="300"/>
      </w:pPr>
      <w:r>
        <w:t xml:space="preserve">3. The Recharge Pro Stack: Architecture</w:t>
      </w:r>
    </w:p>
    <w:p>
      <w:pPr>
        <w:spacing w:after="160" w:line="300"/>
      </w:pPr>
      <w:r>
        <w:t xml:space="preserve">4. The Partner Stack: Science by Layer</w:t>
      </w:r>
    </w:p>
    <w:p>
      <w:pPr>
        <w:spacing w:after="160" w:line="300"/>
      </w:pPr>
      <w:r>
        <w:t xml:space="preserve">5. The AI Concierge: How Personalization Works</w:t>
      </w:r>
    </w:p>
    <w:p>
      <w:pPr>
        <w:spacing w:after="160" w:line="300"/>
      </w:pPr>
      <w:r>
        <w:t xml:space="preserve">6. The Business Case</w:t>
      </w:r>
    </w:p>
    <w:p>
      <w:pPr>
        <w:spacing w:after="160" w:line="300"/>
      </w:pPr>
      <w:r>
        <w:t xml:space="preserve">7. Deployment for The Weitz Company</w:t>
      </w:r>
    </w:p>
    <w:p>
      <w:pPr>
        <w:spacing w:after="160" w:line="300"/>
      </w:pPr>
      <w:r>
        <w:t xml:space="preserve">8. Measurement and Proof</w:t>
      </w:r>
    </w:p>
    <w:p>
      <w:pPr>
        <w:spacing w:after="160" w:line="300"/>
      </w:pPr>
      <w:r>
        <w:t xml:space="preserve">9. What Happens Next</w:t>
      </w:r>
    </w:p>
    <w:p>
      <w:r>
        <w:br w:type="page"/>
      </w:r>
    </w:p>
    <w:p>
      <w:pPr>
        <w:pStyle w:val="Heading1"/>
        <w:spacing w:after="200" w:before="360"/>
      </w:pPr>
      <w:r>
        <w:t xml:space="preserve">1. The Problem in Construction's Own Numbers</w:t>
      </w:r>
    </w:p>
    <w:p>
      <w:pPr>
        <w:spacing w:after="160" w:line="300"/>
      </w:pPr>
      <w:r>
        <w:t xml:space="preserve">Construction kills its own workers at rates that would trigger a national emergency in any other industry. The data are not in dispute. They are published by the Centers for Disease Control and Prevention, the National Institute for Occupational Safety and Health, the Bureau of Labor Statistics, and the Center for Construction Research and Training. They have been documented across multiple peer-reviewed studies and government surveillance reports.</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Construction has the second-highest suicide rate of any U.S. industry. Male construction workers died by suicide at 56.0 per 100,000 in 2021, nearly twice the rate for all working men (32.0 per 100,000).</w:t>
      </w:r>
      <w:r>
        <w:rPr>
          <w:i/>
          <w:iCs/>
          <w:color w:val="4C4C4C"/>
          <w:sz w:val="18"/>
          <w:szCs w:val="18"/>
        </w:rPr>
        <w:t xml:space="preserve"> Sussell A, et al. Suicide Rates by Industry and Occupation, National Vital Statistics System, MMWR 2023;72:1346-1350</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Construction workers make up 7.4% of the U.S. workforce but account for 17.9% of all suicide deaths with reported industry codes.</w:t>
      </w:r>
      <w:r>
        <w:rPr>
          <w:i/>
          <w:iCs/>
          <w:color w:val="4C4C4C"/>
          <w:sz w:val="18"/>
          <w:szCs w:val="18"/>
        </w:rPr>
        <w:t xml:space="preserve"> Harris W, et al. Suicides among construction workers in the United States, 2021. American Journal of Industrial Medicine, March 2025;68 Suppl 1:S144-S151</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Construction workers die from opioid overdose at six to seven times the rate of workers in any other industry.</w:t>
      </w:r>
      <w:r>
        <w:rPr>
          <w:i/>
          <w:iCs/>
          <w:color w:val="4C4C4C"/>
          <w:sz w:val="18"/>
          <w:szCs w:val="18"/>
        </w:rPr>
        <w:t xml:space="preserve"> Center for Construction Research and Training (CPWR); CDC NIOSH</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14.3% of construction workers were diagnosed with a substance use disorder in the past year, compared with 8.6% nationally. Approximately 1.3% have an opioid use disorder, nearly twice the national average.</w:t>
      </w:r>
      <w:r>
        <w:rPr>
          <w:i/>
          <w:iCs/>
          <w:color w:val="4C4C4C"/>
          <w:sz w:val="18"/>
          <w:szCs w:val="18"/>
        </w:rPr>
        <w:t xml:space="preserve"> National Survey on Drug Use and Health; National Safety Council</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59% of construction workers report work-related musculoskeletal disorders. MSDs account for 30 to 40% of all U.S. workplace injuries. Direct treatment costs reached approximately $53 billion annually (2012-2014).</w:t>
      </w:r>
      <w:r>
        <w:rPr>
          <w:i/>
          <w:iCs/>
          <w:color w:val="4C4C4C"/>
          <w:sz w:val="18"/>
          <w:szCs w:val="18"/>
        </w:rPr>
        <w:t xml:space="preserve"> Meta-analysis of 14 studies, PubMed Central, 2024; NIOSH</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Approximately 75% of injured construction workers are prescribed opioid pain medication. About 15% become long-term users. Opioid abuse is associated with a 75% increased likelihood of a suicide attempt.</w:t>
      </w:r>
      <w:r>
        <w:rPr>
          <w:i/>
          <w:iCs/>
          <w:color w:val="4C4C4C"/>
          <w:sz w:val="18"/>
          <w:szCs w:val="18"/>
        </w:rPr>
        <w:t xml:space="preserve"> CNA Financial Construction Risk Outlook; CDC; CPWR; American Society of Safety Professionals</w:t>
      </w:r>
    </w:p>
    <w:p>
      <w:pPr>
        <w:spacing w:after="160" w:line="300"/>
      </w:pPr>
      <w:r>
        <w:t xml:space="preserve">These numbers describe a workforce under sustained physiological, psychological, financial, and relational pressure. The pressures stack. Chronic pain produces opioid prescription. Opioid prescription produces dependency. Dependency multiplies suicide risk. Financial stress amplifies all of it. Family separation on travel projects compounds it further. The result is a workforce dying of conditions that are individually treatable but collectively unaddressed.</w:t>
      </w:r>
    </w:p>
    <w:p>
      <w:pPr>
        <w:pStyle w:val="Heading2"/>
        <w:spacing w:after="160" w:before="280"/>
      </w:pPr>
      <w:r>
        <w:t xml:space="preserve">What This Costs The Weitz Company and Every General Contractor</w:t>
      </w:r>
    </w:p>
    <w:p>
      <w:pPr>
        <w:spacing w:after="160" w:line="300"/>
      </w:pPr>
      <w:r>
        <w:t xml:space="preserve">The mortality numbers are the moral case. The financial case sits underneath them in the operating costs every general contractor already pays:</w:t>
      </w:r>
    </w:p>
    <w:p>
      <w:pPr>
        <w:pStyle w:val="ListParagraph"/>
        <w:numPr>
          <w:ilvl w:val="0"/>
          <w:numId w:val="2"/>
        </w:numPr>
        <w:spacing w:after="80" w:line="280"/>
      </w:pPr>
      <w:r>
        <w:rPr>
          <w:b/>
          <w:bCs/>
        </w:rPr>
        <w:t xml:space="preserve">Workers' compensation. </w:t>
      </w:r>
      <w:r>
        <w:t xml:space="preserve">Construction workers' comp severity has risen consistently. MSDs alone drive a substantial portion of claim volume, and untreated chronic pain progresses to opioid-involved claims that have among the highest medical-only and lost-time costs in the industry.</w:t>
      </w:r>
    </w:p>
    <w:p>
      <w:pPr>
        <w:pStyle w:val="ListParagraph"/>
        <w:numPr>
          <w:ilvl w:val="0"/>
          <w:numId w:val="2"/>
        </w:numPr>
        <w:spacing w:after="80" w:line="280"/>
      </w:pPr>
      <w:r>
        <w:rPr>
          <w:b/>
          <w:bCs/>
        </w:rPr>
        <w:t xml:space="preserve">Turnover. </w:t>
      </w:r>
      <w:r>
        <w:t xml:space="preserve">Industry-wide construction turnover regularly exceeds 50% annually for craft labor in many markets. Replacement cost per skilled worker is typically estimated at $15,000 to $30,000 when full direct and indirect costs are accounted for.</w:t>
      </w:r>
    </w:p>
    <w:p>
      <w:pPr>
        <w:pStyle w:val="ListParagraph"/>
        <w:numPr>
          <w:ilvl w:val="0"/>
          <w:numId w:val="2"/>
        </w:numPr>
        <w:spacing w:after="80" w:line="280"/>
      </w:pPr>
      <w:r>
        <w:rPr>
          <w:b/>
          <w:bCs/>
        </w:rPr>
        <w:t xml:space="preserve">Schedule risk. </w:t>
      </w:r>
      <w:r>
        <w:t xml:space="preserve">Recordable incidents, lost-time injuries, and unplanned absences translate directly to schedule slippage on critical-path activities. On hyperscale and mission-critical projects where liquidated damages run high, this is the cost that gets executive attention first.</w:t>
      </w:r>
    </w:p>
    <w:p>
      <w:pPr>
        <w:pStyle w:val="ListParagraph"/>
        <w:numPr>
          <w:ilvl w:val="0"/>
          <w:numId w:val="2"/>
        </w:numPr>
        <w:spacing w:after="80" w:line="280"/>
      </w:pPr>
      <w:r>
        <w:rPr>
          <w:b/>
          <w:bCs/>
        </w:rPr>
        <w:t xml:space="preserve">Substance-related incidents. </w:t>
      </w:r>
      <w:r>
        <w:t xml:space="preserve">Working under the influence is among the most dangerous conditions in the industry. Drug-related fatalities and serious incidents carry not just the injury cost but the cascading consequences of investigation, work stoppage, regulatory exposure, and project reputation damage.</w:t>
      </w:r>
    </w:p>
    <w:p>
      <w:pPr>
        <w:pStyle w:val="ListParagraph"/>
        <w:numPr>
          <w:ilvl w:val="0"/>
          <w:numId w:val="2"/>
        </w:numPr>
        <w:spacing w:after="80" w:line="280"/>
      </w:pPr>
      <w:r>
        <w:rPr>
          <w:b/>
          <w:bCs/>
        </w:rPr>
        <w:t xml:space="preserve">Absenteeism and presenteeism. </w:t>
      </w:r>
      <w:r>
        <w:t xml:space="preserve">Mental health symptoms, sleep deprivation, and family stress show up on the jobsite as reduced focus, slower work, and higher error rates whether or not workers actually call out. The cost is real even when it is not measured.</w:t>
      </w:r>
    </w:p>
    <w:p>
      <w:pPr>
        <w:spacing w:after="160" w:line="300"/>
      </w:pPr>
      <w:r>
        <w:t xml:space="preserve">Doing nothing has a price. The question is whether the price of an integrated solution is less than the price of continued inaction. The math, which this document will walk through in Section 6, says it is.</w:t>
      </w:r>
    </w:p>
    <w:p>
      <w:r>
        <w:br w:type="page"/>
      </w:r>
    </w:p>
    <w:p>
      <w:pPr>
        <w:pStyle w:val="Heading1"/>
        <w:spacing w:after="200" w:before="360"/>
      </w:pPr>
      <w:r>
        <w:t xml:space="preserve">2. Why Single-Component Wellness Programs Fail</w:t>
      </w:r>
    </w:p>
    <w:p>
      <w:pPr>
        <w:spacing w:after="160" w:line="300"/>
      </w:pPr>
      <w:r>
        <w:t xml:space="preserve">The construction industry has not been doing nothing. Most major contractors have an Employee Assistance Program. Many have invested in mental health awareness training. Some have piloted meditation apps, peer support programs, or wellness benefits. The investments are not wrong. The integration is missing.</w:t>
      </w:r>
    </w:p>
    <w:p>
      <w:pPr>
        <w:spacing w:after="160" w:line="300"/>
      </w:pPr>
      <w:r>
        <w:t xml:space="preserve">The pattern is well documented across the workforce mental health literature. Single-component interventions consistently underperform their potential because the components are interdependent. A meditation app does not fix a nervous system stuck in survival mode. A peer support program does not fix a worker drowning in debt. A resilience training does not fix a hostile foreman. An EAP that workers will not call is not an EAP.</w:t>
      </w:r>
    </w:p>
    <w:p>
      <w:pPr>
        <w:spacing w:after="160" w:line="300"/>
      </w:pPr>
      <w:r>
        <w:t xml:space="preserve">The Centers for Disease Control and Prevention's Suicide Prevention Resource for Action identifies seven core strategies for workplace suicide prevention. Single-component programs activate one of them. The integrated approach activates all of them:</w:t>
      </w:r>
    </w:p>
    <w:p>
      <w:pPr>
        <w:pStyle w:val="ListParagraph"/>
        <w:numPr>
          <w:ilvl w:val="0"/>
          <w:numId w:val="2"/>
        </w:numPr>
        <w:spacing w:after="80" w:line="280"/>
      </w:pPr>
      <w:r>
        <w:t xml:space="preserve">Strengthening economic supports (the financial layer)</w:t>
      </w:r>
    </w:p>
    <w:p>
      <w:pPr>
        <w:pStyle w:val="ListParagraph"/>
        <w:numPr>
          <w:ilvl w:val="0"/>
          <w:numId w:val="2"/>
        </w:numPr>
        <w:spacing w:after="80" w:line="280"/>
      </w:pPr>
      <w:r>
        <w:t xml:space="preserve">Improving access to and delivery of suicide care (the recovery and crisis layers)</w:t>
      </w:r>
    </w:p>
    <w:p>
      <w:pPr>
        <w:pStyle w:val="ListParagraph"/>
        <w:numPr>
          <w:ilvl w:val="0"/>
          <w:numId w:val="2"/>
        </w:numPr>
        <w:spacing w:after="80" w:line="280"/>
      </w:pPr>
      <w:r>
        <w:t xml:space="preserve">Creating protective environments (the leadership and trauma-informed culture layers)</w:t>
      </w:r>
    </w:p>
    <w:p>
      <w:pPr>
        <w:pStyle w:val="ListParagraph"/>
        <w:numPr>
          <w:ilvl w:val="0"/>
          <w:numId w:val="2"/>
        </w:numPr>
        <w:spacing w:after="80" w:line="280"/>
      </w:pPr>
      <w:r>
        <w:t xml:space="preserve">Promoting connectedness (the peer support and family layers)</w:t>
      </w:r>
    </w:p>
    <w:p>
      <w:pPr>
        <w:pStyle w:val="ListParagraph"/>
        <w:numPr>
          <w:ilvl w:val="0"/>
          <w:numId w:val="2"/>
        </w:numPr>
        <w:spacing w:after="80" w:line="280"/>
      </w:pPr>
      <w:r>
        <w:t xml:space="preserve">Teaching coping and problem-solving skills (the communication and proactive conversations layers)</w:t>
      </w:r>
    </w:p>
    <w:p>
      <w:pPr>
        <w:pStyle w:val="ListParagraph"/>
        <w:numPr>
          <w:ilvl w:val="0"/>
          <w:numId w:val="2"/>
        </w:numPr>
        <w:spacing w:after="80" w:line="280"/>
      </w:pPr>
      <w:r>
        <w:t xml:space="preserve">Identifying and supporting people at risk (the AI assessment and warm-handoff layer)</w:t>
      </w:r>
    </w:p>
    <w:p>
      <w:pPr>
        <w:pStyle w:val="ListParagraph"/>
        <w:numPr>
          <w:ilvl w:val="0"/>
          <w:numId w:val="2"/>
        </w:numPr>
        <w:spacing w:after="80" w:line="280"/>
      </w:pPr>
      <w:r>
        <w:t xml:space="preserve">Lessening harms and preventing future risk (the substance use, naloxone, and harm reduction layer)</w:t>
      </w:r>
    </w:p>
    <w:p>
      <w:pPr>
        <w:spacing w:after="160" w:line="300"/>
      </w:pPr>
      <w:r>
        <w:t xml:space="preserve">The integration thesis is not philosophical. It is operational. A construction worker who can regulate their nervous system in a Recharge Booth still goes home to financial stress, family separation, and untreated chronic pain. Address one layer and the gains evaporate within weeks. Address all the layers in coordination and the gains compound.</w:t>
      </w:r>
    </w:p>
    <w:p>
      <w:pPr>
        <w:spacing w:after="160" w:line="300"/>
      </w:pPr>
      <w:r>
        <w:t xml:space="preserve">The Recharge Pro Stack is designed around that integration thesis. It is not a single product. It is an orchestrated system of best-in-class providers, delivered through a unified user experience, anchored in physical recovery infrastructure on the jobsite, and personalized to each worker's actual situation.</w:t>
      </w:r>
    </w:p>
    <w:p>
      <w:r>
        <w:br w:type="page"/>
      </w:r>
    </w:p>
    <w:p>
      <w:pPr>
        <w:pStyle w:val="Heading1"/>
        <w:spacing w:after="200" w:before="360"/>
      </w:pPr>
      <w:r>
        <w:t xml:space="preserve">3. The Recharge Pro Stack: Architecture</w:t>
      </w:r>
    </w:p>
    <w:p>
      <w:pPr>
        <w:spacing w:after="160" w:line="300"/>
      </w:pPr>
      <w:r>
        <w:t xml:space="preserve">The Recharge Pro Stack has three components that work together. None of them works as well alone.</w:t>
      </w:r>
    </w:p>
    <w:p>
      <w:pPr>
        <w:pStyle w:val="Heading2"/>
        <w:spacing w:after="160" w:before="280"/>
      </w:pPr>
      <w:r>
        <w:t xml:space="preserve">3.1 Physical Recovery Infrastructure</w:t>
      </w:r>
    </w:p>
    <w:p>
      <w:pPr>
        <w:spacing w:after="160" w:line="300"/>
      </w:pPr>
      <w:r>
        <w:t xml:space="preserve">On-site Recharge Booths and Recharge Rooms give workers immediate access to evidence-based nervous system recovery during the workday. This is not a wellness room with beanbags. It is a clinical-grade recovery environment built for the construction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Equipment</w:t>
            </w:r>
          </w:p>
        </w:tc>
        <w:tc>
          <w:tcPr>
            <w:tcW w:type="dxa" w:w="234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Session</w:t>
            </w:r>
          </w:p>
        </w:tc>
        <w:tc>
          <w:tcPr>
            <w:tcW w:type="dxa" w:w="234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Components</w:t>
            </w:r>
          </w:p>
        </w:tc>
        <w:tc>
          <w:tcPr>
            <w:tcW w:type="dxa" w:w="234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Footprint</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bCs/>
                <w:color w:val="1A1A1A"/>
              </w:rPr>
              <w:t xml:space="preserve">Recharge Booth</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12-minute nervous system reset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Grounding mat, sound therapy, vagus nerve stimulation, full-body red light therapy</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10x10 (lunch tent footprint)</w:t>
            </w:r>
          </w:p>
        </w:tc>
      </w:tr>
      <w:tr>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bCs/>
                <w:color w:val="1A1A1A"/>
              </w:rPr>
              <w:t xml:space="preserve">Recharge Room</w:t>
            </w:r>
          </w:p>
        </w:tc>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33-minute full recovery</w:t>
            </w:r>
          </w:p>
        </w:tc>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Everything in the Booth, plus cold plunge and infrared sauna with chromotherapy and sound</w:t>
            </w:r>
          </w:p>
        </w:tc>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20x20 minimum</w:t>
            </w:r>
          </w:p>
        </w:tc>
      </w:tr>
    </w:tbl>
    <w:p>
      <w:pPr>
        <w:spacing w:after="80"/>
      </w:pPr>
      <w:r>
        <w:t xml:space="preserve"/>
      </w:r>
    </w:p>
    <w:p>
      <w:pPr>
        <w:spacing w:after="160" w:line="300"/>
      </w:pPr>
      <w:r>
        <w:t xml:space="preserve">Every component in the Booth and Room has peer-reviewed evidence behind it. The science is detailed in Section 4. The relevant point for this section: this is hardware that does measurable physiological work, deployable on a jobsite, designed for the construction context.</w:t>
      </w:r>
    </w:p>
    <w:p>
      <w:pPr>
        <w:pStyle w:val="Heading2"/>
        <w:spacing w:after="160" w:before="280"/>
      </w:pPr>
      <w:r>
        <w:t xml:space="preserve">3.2 The Recharge Pro App</w:t>
      </w:r>
    </w:p>
    <w:p>
      <w:pPr>
        <w:spacing w:after="160" w:line="300"/>
      </w:pPr>
      <w:r>
        <w:t xml:space="preserve">The app is the orchestration layer. It is what makes the system feel unified to a worker instead of feeling like a collection of disconnected tools. Three functions matter most:</w:t>
      </w:r>
    </w:p>
    <w:p>
      <w:pPr>
        <w:pStyle w:val="ListParagraph"/>
        <w:numPr>
          <w:ilvl w:val="0"/>
          <w:numId w:val="2"/>
        </w:numPr>
        <w:spacing w:after="80" w:line="280"/>
      </w:pPr>
      <w:r>
        <w:rPr>
          <w:b/>
          <w:bCs/>
        </w:rPr>
        <w:t xml:space="preserve">Concierge experience. </w:t>
      </w:r>
      <w:r>
        <w:t xml:space="preserve">The app uses AI to individualize content and plans for each worker based on their role, schedule, stated goals, and patterns of use. A foreman in his fifties dealing with chronic back pain gets different content than a journeyman in her thirties navigating childcare and a custody negotiation. The same partner stack, sequenced differently for each user.</w:t>
      </w:r>
    </w:p>
    <w:p>
      <w:pPr>
        <w:pStyle w:val="ListParagraph"/>
        <w:numPr>
          <w:ilvl w:val="0"/>
          <w:numId w:val="2"/>
        </w:numPr>
        <w:spacing w:after="80" w:line="280"/>
      </w:pPr>
      <w:r>
        <w:rPr>
          <w:b/>
          <w:bCs/>
        </w:rPr>
        <w:t xml:space="preserve">Drip-fed partner content. </w:t>
      </w:r>
      <w:r>
        <w:t xml:space="preserve">The app delivers content from across the partner stack on a personalized cadence. Workers don't have to know that the leadership content came from Mission Mindset, the financial literacy came from a Recharge Pro partner, or the communication training came from Proactive Conversations. They just get the right content at the right time.</w:t>
      </w:r>
    </w:p>
    <w:p>
      <w:pPr>
        <w:pStyle w:val="ListParagraph"/>
        <w:numPr>
          <w:ilvl w:val="0"/>
          <w:numId w:val="2"/>
        </w:numPr>
        <w:spacing w:after="80" w:line="280"/>
      </w:pPr>
      <w:r>
        <w:rPr>
          <w:b/>
          <w:bCs/>
        </w:rPr>
        <w:t xml:space="preserve">Warm handoff to depth. </w:t>
      </w:r>
      <w:r>
        <w:t xml:space="preserve">When the app surfaces that a worker would benefit from going deeper, it routes them directly to the partner organization. Empower Work's text-based peer counselors. A live trauma-informed HR consultant. A financial counselor. A recovery coach. The app is the front door. The partners are the depth behind it.</w:t>
      </w:r>
    </w:p>
    <w:p>
      <w:pPr>
        <w:pStyle w:val="Heading2"/>
        <w:spacing w:after="160" w:before="280"/>
      </w:pPr>
      <w:r>
        <w:t xml:space="preserve">3.3 The Partner Stack</w:t>
      </w:r>
    </w:p>
    <w:p>
      <w:pPr>
        <w:spacing w:after="160" w:line="300"/>
      </w:pPr>
      <w:r>
        <w:t xml:space="preserve">Eight credentialed organizations, each owning their domain, each carrying their own scientific evidence base, each with the infrastructure to deliver at scale. The Recharge Pro App and the on-site infrastructure are the delivery system. The partners are the actual interventions.</w:t>
      </w:r>
    </w:p>
    <w:p>
      <w:pPr>
        <w:spacing w:after="160" w:line="300"/>
      </w:pPr>
      <w:r>
        <w:t xml:space="preserve">Section 4 walks through each partner, what they address, the scientific evidence supporting their work, and the role they play in the integrated stack.</w:t>
      </w:r>
    </w:p>
    <w:p>
      <w:pPr>
        <w:pStyle w:val="Heading2"/>
        <w:spacing w:after="160" w:before="280"/>
      </w:pPr>
      <w:r>
        <w:t xml:space="preserve">3.4 What This Architecture Is Not</w:t>
      </w:r>
    </w:p>
    <w:p>
      <w:pPr>
        <w:spacing w:after="160" w:line="300"/>
      </w:pPr>
      <w:r>
        <w:t xml:space="preserve">Recharge Pro is not a vertical integrated wellness vendor that claims to do everything itself. The science for each layer lives with the partner who owns it. Recharge Pro's contribution is delivery quality, individualization, sequencing, and the warm handoff to deeper engagement when warranted.</w:t>
      </w:r>
    </w:p>
    <w:p>
      <w:pPr>
        <w:spacing w:after="160" w:line="300"/>
      </w:pPr>
      <w:r>
        <w:t xml:space="preserve">This matters because it means each scientific claim in this document is anchored in a credentialed partner organization with its own track record, not in marketing copy. It also means the system can evolve as partners improve their own offerings, and that Recharge Pro can substitute partners if the evidence shifts.</w:t>
      </w:r>
    </w:p>
    <w:p>
      <w:r>
        <w:br w:type="page"/>
      </w:r>
    </w:p>
    <w:p>
      <w:pPr>
        <w:pStyle w:val="Heading1"/>
        <w:spacing w:after="200" w:before="360"/>
      </w:pPr>
      <w:r>
        <w:t xml:space="preserve">4. The Partner Stack: Science by Layer</w:t>
      </w:r>
    </w:p>
    <w:p>
      <w:pPr>
        <w:spacing w:after="160" w:line="300"/>
      </w:pPr>
      <w:r>
        <w:t xml:space="preserve">This section walks through each layer of the integrated stack. For each one: what the problem is in construction, what the partner does, the peer-reviewed evidence supporting the intervention category, and how the partner integrates with the rest of the stack.</w:t>
      </w:r>
    </w:p>
    <w:p>
      <w:pPr>
        <w:pStyle w:val="Heading2"/>
        <w:spacing w:after="160" w:before="280"/>
      </w:pPr>
      <w:r>
        <w:t xml:space="preserve">4.1 Nervous System Recovery: The Booth and Room</w:t>
      </w:r>
    </w:p>
    <w:p>
      <w:pPr>
        <w:pStyle w:val="Heading3"/>
        <w:spacing w:after="120" w:before="200"/>
      </w:pPr>
      <w:r>
        <w:t xml:space="preserve">The Problem</w:t>
      </w:r>
    </w:p>
    <w:p>
      <w:pPr>
        <w:spacing w:after="160" w:line="300"/>
      </w:pPr>
      <w:r>
        <w:t xml:space="preserve">Construction is an allostatic load factory. Allostatic load is the cumulative wear and tear on the body that accrues when stress responses fire too often, last too long, or fail to shut off (McEwen, New England Journal of Medicine 1998). The construction worker's autonomic nervous system spends much of the workday in sympathetic activation, with frequent collapse into shutdown after shifts. Substance use functions in part as a forced state change because the nervous system has lost the ability to self-regulate.</w:t>
      </w:r>
    </w:p>
    <w:p>
      <w:pPr>
        <w:pStyle w:val="Heading3"/>
        <w:spacing w:after="120" w:before="200"/>
      </w:pPr>
      <w:r>
        <w:t xml:space="preserve">What the Booth and Room Do</w:t>
      </w:r>
    </w:p>
    <w:p>
      <w:pPr>
        <w:spacing w:after="160" w:line="300"/>
      </w:pPr>
      <w:r>
        <w:t xml:space="preserve">Every component of the Booth and Room is a mechanism for restoring autonomic regulation, reducing inflammation, and giving the nervous system actual recovery time during the workday.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Component</w:t>
            </w:r>
          </w:p>
        </w:tc>
        <w:tc>
          <w:tcPr>
            <w:tcW w:type="dxa" w:w="468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Mechanism</w:t>
            </w:r>
          </w:p>
        </w:tc>
        <w:tc>
          <w:tcPr>
            <w:tcW w:type="dxa" w:w="234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Evidence Anchors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bCs/>
                <w:color w:val="1A1A1A"/>
              </w:rPr>
              <w:t xml:space="preserve">Vagus nerve stimulation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Activates the parasympathetic nervous system. Heart rate variability (HRV) is the measurable biomarker of regulatory capacity. Reduces inflammation markers.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Porges (polyvagal theory)</w:t>
            </w:r>
          </w:p>
          <w:p>
            <w:pPr>
              <w:spacing w:after="40"/>
            </w:pPr>
            <w:r>
              <w:rPr>
                <w:b w:val="false"/>
                <w:bCs w:val="false"/>
                <w:color w:val="1A1A1A"/>
              </w:rPr>
              <w:t xml:space="preserve">Thayer &amp; Lane (HRV)</w:t>
            </w:r>
          </w:p>
        </w:tc>
      </w:tr>
      <w:tr>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bCs/>
                <w:color w:val="1A1A1A"/>
              </w:rPr>
              <w:t xml:space="preserve">Sound therapy</w:t>
            </w:r>
          </w:p>
        </w:tc>
        <w:tc>
          <w:tcPr>
            <w:tcW w:type="dxa" w:w="468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Auditory cortex coupling with limbic structures. Reduces default mode network hyperactivity associated with rumination, anxiety, and PTSD.</w:t>
            </w:r>
          </w:p>
        </w:tc>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Koelsch; Raichle (DMN)</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bCs/>
                <w:color w:val="1A1A1A"/>
              </w:rPr>
              <w:t xml:space="preserve">Red light therapy (photobiomodulation)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660nm and 850nm wavelengths penetrate tissue and improve mitochondrial cytochrome c oxidase activity. Increases ATP production. Reduces inflammation.</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Hamblin (Harvard PBM lab)</w:t>
            </w:r>
          </w:p>
          <w:p>
            <w:pPr>
              <w:spacing w:after="40"/>
            </w:pPr>
            <w:r>
              <w:rPr>
                <w:b w:val="false"/>
                <w:bCs w:val="false"/>
                <w:color w:val="1A1A1A"/>
              </w:rPr>
              <w:t xml:space="preserve">de Freitas &amp; Hamblin reviews</w:t>
            </w:r>
          </w:p>
        </w:tc>
      </w:tr>
      <w:tr>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bCs/>
                <w:color w:val="1A1A1A"/>
              </w:rPr>
              <w:t xml:space="preserve">Cold plunge (Room only)</w:t>
            </w:r>
          </w:p>
        </w:tc>
        <w:tc>
          <w:tcPr>
            <w:tcW w:type="dxa" w:w="468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Acute sympathetic spike followed by sustained parasympathetic rebound. Norepinephrine release. Hormetic stress training that builds resilience.</w:t>
            </w:r>
          </w:p>
        </w:tc>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Søberg et al.</w:t>
            </w:r>
          </w:p>
          <w:p>
            <w:pPr>
              <w:spacing w:after="40"/>
            </w:pPr>
            <w:r>
              <w:rPr>
                <w:b w:val="false"/>
                <w:bCs w:val="false"/>
                <w:color w:val="1A1A1A"/>
              </w:rPr>
              <w:t xml:space="preserve">Leppäluoto et al.</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bCs/>
                <w:color w:val="1A1A1A"/>
              </w:rPr>
              <w:t xml:space="preserve">Infrared sauna (Room only)</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Heat shock protein induction. Cardiovascular conditioning equivalent to moderate exercise. Significant dose-response reduction in all-cause mortality.</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Laukkanen et al. (Finnish cohort)</w:t>
            </w:r>
          </w:p>
          <w:p>
            <w:pPr>
              <w:spacing w:after="40"/>
            </w:pPr>
            <w:r>
              <w:rPr>
                <w:b w:val="false"/>
                <w:bCs w:val="false"/>
                <w:color w:val="1A1A1A"/>
              </w:rPr>
              <w:t xml:space="preserve">Kunutsor et al.</w:t>
            </w:r>
          </w:p>
        </w:tc>
      </w:tr>
      <w:tr>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bCs/>
                <w:color w:val="1A1A1A"/>
              </w:rPr>
              <w:t xml:space="preserve">Grounding mat</w:t>
            </w:r>
          </w:p>
        </w:tc>
        <w:tc>
          <w:tcPr>
            <w:tcW w:type="dxa" w:w="468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Direct skin contact with grounded surface. Mechanism partially behavioral (forced pause, parasympathetic shift). Mechanistic evidence still emerging.</w:t>
            </w:r>
          </w:p>
        </w:tc>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Chevalier et al.</w:t>
            </w:r>
          </w:p>
          <w:p>
            <w:pPr>
              <w:spacing w:after="40"/>
            </w:pPr>
            <w:r>
              <w:rPr>
                <w:b w:val="false"/>
                <w:bCs w:val="false"/>
                <w:color w:val="1A1A1A"/>
              </w:rPr>
              <w:t xml:space="preserve">Flagged as the weakest evidence base in the stack</w:t>
            </w:r>
          </w:p>
        </w:tc>
      </w:tr>
    </w:tbl>
    <w:p>
      <w:pPr>
        <w:spacing w:after="80"/>
      </w:pPr>
      <w:r>
        <w:t xml:space="preserve"/>
      </w:r>
    </w:p>
    <w:p>
      <w:pPr>
        <w:spacing w:after="160" w:line="300"/>
      </w:pPr>
      <w:r>
        <w:t xml:space="preserve">Intellectual honesty matters here. Cold plunge, sauna, vagus stimulation, and red light all have strong literatures. Sound therapy is well supported for autonomic effects. Grounding has the weakest evidence base of the stack and we flag it as such. The system does not depend on grounding being the dominant mechanism. The aggregate effect is what matters.</w:t>
      </w:r>
    </w:p>
    <w:p>
      <w:pPr>
        <w:pStyle w:val="Heading3"/>
        <w:spacing w:after="120" w:before="200"/>
      </w:pPr>
      <w:r>
        <w:t xml:space="preserve">Scientific Governance</w:t>
      </w:r>
    </w:p>
    <w:p>
      <w:pPr>
        <w:spacing w:after="160" w:line="300"/>
      </w:pPr>
      <w:r>
        <w:t xml:space="preserve">Recharge Pro's Scientific and Medical Advisory Board includes credentialed authorities in each of the relevant domains, including Dr. Tom Seager (ASU, cold immersion authority), Dr. Nick Hool (Hoolest Performance Technologies, vagus nerve), Dr. Marco Santello (ASU, Director of Neural Control of Movement Lab), Dr. Gary A. Smith MD (Medical Director, PIA, 40+ years public safety health), Dr. Vincent Marino MD (retired Chief of Emergency Medicine, HonorHealth), and additional MDs, PhDs, and clinical practitioners listed on the public advisory board.</w:t>
      </w:r>
    </w:p>
    <w:p>
      <w:r>
        <w:br w:type="page"/>
      </w:r>
    </w:p>
    <w:p>
      <w:pPr>
        <w:pStyle w:val="Heading2"/>
        <w:spacing w:after="160" w:before="280"/>
      </w:pPr>
      <w:r>
        <w:t xml:space="preserve">4.2 Musculoskeletal Injury Prevention: Vimocity</w:t>
      </w:r>
    </w:p>
    <w:p>
      <w:pPr>
        <w:pStyle w:val="Heading3"/>
        <w:spacing w:after="120" w:before="200"/>
      </w:pPr>
      <w:r>
        <w:t xml:space="preserve">The Problem</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Work-related musculoskeletal disorders affect 59% of construction workers globally. MSDs account for 30 to 40% of all U.S. workplace injuries with direct treatment costs of approximately $53 billion annually.</w:t>
      </w:r>
      <w:r>
        <w:rPr>
          <w:i/>
          <w:iCs/>
          <w:color w:val="4C4C4C"/>
          <w:sz w:val="18"/>
          <w:szCs w:val="18"/>
        </w:rPr>
        <w:t xml:space="preserve"> Meta-analysis of 14 studies, 2024; NIOSH</w:t>
      </w:r>
    </w:p>
    <w:p>
      <w:pPr>
        <w:spacing w:after="160" w:line="300"/>
      </w:pPr>
      <w:r>
        <w:t xml:space="preserve">The pathway from MSD to suicide is short and often overlooked. Approximately 75% of injured construction workers are prescribed opioid pain medication. About 15% become long-term users. Opioid use disorder roughly doubles suicide attempt risk. Preventing the MSD prevents the prescription. Preventing the prescription prevents the use disorder. Preventing the use disorder removes one of the strongest precipitants of completed suicide.</w:t>
      </w:r>
    </w:p>
    <w:p>
      <w:pPr>
        <w:spacing w:after="160" w:line="300"/>
      </w:pPr>
      <w:r>
        <w:t xml:space="preserve">The MSD layer is therefore a suicide prevention layer at one step removed. It is also the layer that produces the most direct workers' compensation savings in the short term.</w:t>
      </w:r>
    </w:p>
    <w:p>
      <w:pPr>
        <w:pStyle w:val="Heading3"/>
        <w:spacing w:after="120" w:before="200"/>
      </w:pPr>
      <w:r>
        <w:t xml:space="preserve">What Vimocity Does</w:t>
      </w:r>
    </w:p>
    <w:p>
      <w:pPr>
        <w:spacing w:after="160" w:line="300"/>
      </w:pPr>
      <w:r>
        <w:t xml:space="preserve">Vimocity delivers data-driven musculoskeletal injury prevention through expert-led training, daily micro-break protocols, ergonomic guidance tailored to specific job functions, and analytics that surface injury trends by workgroup and season. The platform reaches workers through both digital delivery and in-person crew-level engagement.</w:t>
      </w:r>
    </w:p>
    <w:p>
      <w:pPr>
        <w:pStyle w:val="Heading3"/>
        <w:spacing w:after="120" w:before="200"/>
      </w:pPr>
      <w:r>
        <w:t xml:space="preserve">The Evidence Base</w:t>
      </w:r>
    </w:p>
    <w:p>
      <w:pPr>
        <w:spacing w:after="160" w:line="300"/>
      </w:pPr>
      <w:r>
        <w:t xml:space="preserve">The systematic review literature on workplace MSD intervention establishes strong evidence for workplace-based resistance training, moderate evidence for stretching and ergonomic feedback, and growing evidence for wearable-based injury prevention. The most rigorous review (Hossain et al., 2019) identifies workplace physical exercise programs as having the largest body of evidence, with positive effects also documented for ergonomic training. Vimocity's approach maps onto the intervention categories with the strongest evidence.</w:t>
      </w:r>
    </w:p>
    <w:p>
      <w:pPr>
        <w:pStyle w:val="Heading3"/>
        <w:spacing w:after="120" w:before="200"/>
      </w:pPr>
      <w:r>
        <w:t xml:space="preserve">Role in the Stack</w:t>
      </w:r>
    </w:p>
    <w:p>
      <w:pPr>
        <w:pStyle w:val="ListParagraph"/>
        <w:numPr>
          <w:ilvl w:val="0"/>
          <w:numId w:val="2"/>
        </w:numPr>
        <w:spacing w:after="80" w:line="280"/>
      </w:pPr>
      <w:r>
        <w:t xml:space="preserve">Daily one-minute movement protocols delivered through the Recharge Pro app</w:t>
      </w:r>
    </w:p>
    <w:p>
      <w:pPr>
        <w:pStyle w:val="ListParagraph"/>
        <w:numPr>
          <w:ilvl w:val="0"/>
          <w:numId w:val="2"/>
        </w:numPr>
        <w:spacing w:after="80" w:line="280"/>
      </w:pPr>
      <w:r>
        <w:t xml:space="preserve">Crew-level training led by Vimocity expert practitioners</w:t>
      </w:r>
    </w:p>
    <w:p>
      <w:pPr>
        <w:pStyle w:val="ListParagraph"/>
        <w:numPr>
          <w:ilvl w:val="0"/>
          <w:numId w:val="2"/>
        </w:numPr>
        <w:spacing w:after="80" w:line="280"/>
      </w:pPr>
      <w:r>
        <w:t xml:space="preserve">Injury trend analytics surfaced to safety leadership</w:t>
      </w:r>
    </w:p>
    <w:p>
      <w:pPr>
        <w:pStyle w:val="ListParagraph"/>
        <w:numPr>
          <w:ilvl w:val="0"/>
          <w:numId w:val="2"/>
        </w:numPr>
        <w:spacing w:after="80" w:line="280"/>
      </w:pPr>
      <w:r>
        <w:t xml:space="preserve">Direct Vimocity platform deployment available for organizations seeking deeper engagement</w:t>
      </w:r>
    </w:p>
    <w:p>
      <w:pPr>
        <w:spacing w:after="160" w:line="300"/>
      </w:pPr>
      <w:r>
        <w:t xml:space="preserve">Scientific anchor: Dr. Kevin Rindal, DC. Co-founder, Vimocity. Industrial workforce musculoskeletal injury prevention at scale across 100,000+ industrial workers. Member, Recharge Pro Scientific &amp; Medical Advisory Board.</w:t>
      </w:r>
    </w:p>
    <w:p>
      <w:r>
        <w:br w:type="page"/>
      </w:r>
    </w:p>
    <w:p>
      <w:pPr>
        <w:pStyle w:val="Heading2"/>
        <w:spacing w:after="160" w:before="280"/>
      </w:pPr>
      <w:r>
        <w:t xml:space="preserve">4.3 Leadership and Cultural Transformation: Mission Mindset</w:t>
      </w:r>
    </w:p>
    <w:p>
      <w:pPr>
        <w:pStyle w:val="Heading3"/>
        <w:spacing w:after="120" w:before="200"/>
      </w:pPr>
      <w:r>
        <w:t xml:space="preserve">The Problem</w:t>
      </w:r>
    </w:p>
    <w:p>
      <w:pPr>
        <w:spacing w:after="160" w:line="300"/>
      </w:pPr>
      <w:r>
        <w:t xml:space="preserve">Workplace culture is the single largest modifiable lever in construction worker mental health outcomes. The CDC explicitly identifies job strain, poor supervisory support, low job control, and job insecurity as elevated suicide risk factors. Workplace bullying is a documented independent predictor of suicidality in the construction workforce (Ross et al., Crisis Journal 2021).</w:t>
      </w:r>
    </w:p>
    <w:p>
      <w:pPr>
        <w:spacing w:after="160" w:line="300"/>
      </w:pPr>
      <w:r>
        <w:t xml:space="preserve">Leadership behavior is not a soft variable. It measurably alters worker physiology through neuroceptive safety signaling. It measurably alters mental health outcomes through chronic threat exposure or chronic threat reduction. Foremen, superintendents, and project executives set the tone the workforce lives inside for eight to twelve hours a day.</w:t>
      </w:r>
    </w:p>
    <w:p>
      <w:pPr>
        <w:pStyle w:val="Heading3"/>
        <w:spacing w:after="120" w:before="200"/>
      </w:pPr>
      <w:r>
        <w:t xml:space="preserve">What Mission Mindset Does</w:t>
      </w:r>
    </w:p>
    <w:p>
      <w:pPr>
        <w:spacing w:after="160" w:line="300"/>
      </w:pPr>
      <w:r>
        <w:t xml:space="preserve">Mission Mindset, led by Justin Azbill, delivers leadership development specifically calibrated to the construction context. The work spans mindset and resilience training, leadership communication, psychological safety, and the cultural transformation required to make the rest of the stack effective. Workshops, cohort programs, and ongoing leadership development for foremen, superintendents, and project leadership.</w:t>
      </w:r>
    </w:p>
    <w:p>
      <w:pPr>
        <w:pStyle w:val="Heading3"/>
        <w:spacing w:after="120" w:before="200"/>
      </w:pPr>
      <w:r>
        <w:t xml:space="preserve">The Evidence Base</w:t>
      </w:r>
    </w:p>
    <w:p>
      <w:pPr>
        <w:spacing w:after="160" w:line="300"/>
      </w:pPr>
      <w:r>
        <w:t xml:space="preserve">The literature on psychologically safe leadership and its impact on workforce mental health draws on Edmondson's psychological safety research at Harvard, Porges's polyvagal theory on neuroceptive cues and autonomic regulation, the SAMHSA trauma-informed framework, and the CDC's protective environments strategy. Leadership-focused interventions show growing evidence for workforce mental health outcomes when properly delivered and sustained.</w:t>
      </w:r>
    </w:p>
    <w:p>
      <w:pPr>
        <w:pStyle w:val="Heading3"/>
        <w:spacing w:after="120" w:before="200"/>
      </w:pPr>
      <w:r>
        <w:t xml:space="preserve">Role in the Stack</w:t>
      </w:r>
    </w:p>
    <w:p>
      <w:pPr>
        <w:pStyle w:val="ListParagraph"/>
        <w:numPr>
          <w:ilvl w:val="0"/>
          <w:numId w:val="2"/>
        </w:numPr>
        <w:spacing w:after="80" w:line="280"/>
      </w:pPr>
      <w:r>
        <w:t xml:space="preserve">Leadership development modules drip-fed to supervisors through the Recharge Pro app</w:t>
      </w:r>
    </w:p>
    <w:p>
      <w:pPr>
        <w:pStyle w:val="ListParagraph"/>
        <w:numPr>
          <w:ilvl w:val="0"/>
          <w:numId w:val="2"/>
        </w:numPr>
        <w:spacing w:after="80" w:line="280"/>
      </w:pPr>
      <w:r>
        <w:t xml:space="preserve">Toolbox talk content for daily team conversations</w:t>
      </w:r>
    </w:p>
    <w:p>
      <w:pPr>
        <w:pStyle w:val="ListParagraph"/>
        <w:numPr>
          <w:ilvl w:val="0"/>
          <w:numId w:val="2"/>
        </w:numPr>
        <w:spacing w:after="80" w:line="280"/>
      </w:pPr>
      <w:r>
        <w:t xml:space="preserve">Mindset and resilience curriculum tailored to construction context</w:t>
      </w:r>
    </w:p>
    <w:p>
      <w:pPr>
        <w:pStyle w:val="ListParagraph"/>
        <w:numPr>
          <w:ilvl w:val="0"/>
          <w:numId w:val="2"/>
        </w:numPr>
        <w:spacing w:after="80" w:line="280"/>
      </w:pPr>
      <w:r>
        <w:t xml:space="preserve">Direct Mission Mindset engagement available for organizations seeking deeper transformation work</w:t>
      </w:r>
    </w:p>
    <w:p>
      <w:pPr>
        <w:spacing w:after="160" w:line="300"/>
      </w:pPr>
      <w:r>
        <w:t xml:space="preserve">Industry anchor: Justin Azbill, Mission Mindset. Construction industry leadership development specialist.</w:t>
      </w:r>
    </w:p>
    <w:p>
      <w:r>
        <w:br w:type="page"/>
      </w:r>
    </w:p>
    <w:p>
      <w:pPr>
        <w:pStyle w:val="Heading2"/>
        <w:spacing w:after="160" w:before="280"/>
      </w:pPr>
      <w:r>
        <w:t xml:space="preserve">4.4 Trauma-Informed Leadership and HR: Stephanie Lemek</w:t>
      </w:r>
    </w:p>
    <w:p>
      <w:pPr>
        <w:pStyle w:val="Heading3"/>
        <w:spacing w:after="120" w:before="200"/>
      </w:pPr>
      <w:r>
        <w:t xml:space="preserve">The Problem</w:t>
      </w:r>
    </w:p>
    <w:p>
      <w:pPr>
        <w:spacing w:after="160" w:line="300"/>
      </w:pPr>
      <w:r>
        <w:t xml:space="preserve">Construction workforces show elevated Adverse Childhood Experience (ACE) scores relative to general population. The Felitti and Anda research at CDC and Kaiser Permanente, beginning in 1998 and replicated across hundreds of studies since, demonstrates dose-response relationships between childhood trauma and adult depression, addiction, suicide, cardiovascular disease, and early mortality.</w:t>
      </w:r>
    </w:p>
    <w:p>
      <w:pPr>
        <w:spacing w:after="160" w:line="300"/>
      </w:pPr>
      <w:r>
        <w:t xml:space="preserve">Many construction workers are not just managing current job stress. They are carrying unresolved developmental trauma into work environments that re-activate it. Traditional HR practices are not designed for this reality. A trauma-informed approach is.</w:t>
      </w:r>
    </w:p>
    <w:p>
      <w:pPr>
        <w:pStyle w:val="Heading3"/>
        <w:spacing w:after="120" w:before="200"/>
      </w:pPr>
      <w:r>
        <w:t xml:space="preserve">What Trauma-Informed Leadership Brings</w:t>
      </w:r>
    </w:p>
    <w:p>
      <w:pPr>
        <w:spacing w:after="160" w:line="300"/>
      </w:pPr>
      <w:r>
        <w:t xml:space="preserve">Stephanie Lemek's work operationalizes SAMHSA's trauma-informed framework (safety, trustworthiness, peer support, collaboration, empowerment, and cultural responsiveness) for construction HR and leadership. The engagement includes trauma-informed HR audits, leadership training on trauma response recognition without escalation, and policy work to prevent re-traumatization at scale across organizational systems.</w:t>
      </w:r>
    </w:p>
    <w:p>
      <w:pPr>
        <w:pStyle w:val="Heading3"/>
        <w:spacing w:after="120" w:before="200"/>
      </w:pPr>
      <w:r>
        <w:t xml:space="preserve">The Evidence Base</w:t>
      </w:r>
    </w:p>
    <w:p>
      <w:pPr>
        <w:spacing w:after="160" w:line="300"/>
      </w:pPr>
      <w:r>
        <w:t xml:space="preserve">The SAMHSA trauma-informed care framework is the dominant clinical and organizational model for serving populations with high trauma exposure. Trauma-informed leadership training has documented effects on supervisor ability to recognize trauma responses (hypervigilance, dissociation, irritability, withdrawal) and to respond without escalation. The construction-specific application is newer but anchors in the same evidence base that has been validated across healthcare, criminal justice, and education.</w:t>
      </w:r>
    </w:p>
    <w:p>
      <w:pPr>
        <w:pStyle w:val="Heading3"/>
        <w:spacing w:after="120" w:before="200"/>
      </w:pPr>
      <w:r>
        <w:t xml:space="preserve">Role in the Stack</w:t>
      </w:r>
    </w:p>
    <w:p>
      <w:pPr>
        <w:pStyle w:val="ListParagraph"/>
        <w:numPr>
          <w:ilvl w:val="0"/>
          <w:numId w:val="2"/>
        </w:numPr>
        <w:spacing w:after="80" w:line="280"/>
      </w:pPr>
      <w:r>
        <w:t xml:space="preserve">Trauma-informed leadership content delivered through the Recharge Pro app to supervisors and project leadership</w:t>
      </w:r>
    </w:p>
    <w:p>
      <w:pPr>
        <w:pStyle w:val="ListParagraph"/>
        <w:numPr>
          <w:ilvl w:val="0"/>
          <w:numId w:val="2"/>
        </w:numPr>
        <w:spacing w:after="80" w:line="280"/>
      </w:pPr>
      <w:r>
        <w:t xml:space="preserve">Trauma-informed HR audits available as scoped engagements for organizations addressing systemic issues</w:t>
      </w:r>
    </w:p>
    <w:p>
      <w:pPr>
        <w:pStyle w:val="ListParagraph"/>
        <w:numPr>
          <w:ilvl w:val="0"/>
          <w:numId w:val="2"/>
        </w:numPr>
        <w:spacing w:after="80" w:line="280"/>
      </w:pPr>
      <w:r>
        <w:t xml:space="preserve">Crisis response protocol development</w:t>
      </w:r>
    </w:p>
    <w:p>
      <w:pPr>
        <w:pStyle w:val="ListParagraph"/>
        <w:numPr>
          <w:ilvl w:val="0"/>
          <w:numId w:val="2"/>
        </w:numPr>
        <w:spacing w:after="80" w:line="280"/>
      </w:pPr>
      <w:r>
        <w:t xml:space="preserve">Direct Stephanie Lemek engagement for deeper organizational work</w:t>
      </w:r>
    </w:p>
    <w:p>
      <w:pPr>
        <w:spacing w:after="160" w:line="300"/>
      </w:pPr>
      <w:r>
        <w:t xml:space="preserve">Industry anchor: Stephanie Lemek. Trauma-informed HR and leadership specialist for construction.</w:t>
      </w:r>
    </w:p>
    <w:p>
      <w:r>
        <w:br w:type="page"/>
      </w:r>
    </w:p>
    <w:p>
      <w:pPr>
        <w:pStyle w:val="Heading2"/>
        <w:spacing w:after="160" w:before="280"/>
      </w:pPr>
      <w:r>
        <w:t xml:space="preserve">4.5 Workplace Abuse Reporting and Resolution: Confyde</w:t>
      </w:r>
    </w:p>
    <w:p>
      <w:pPr>
        <w:pStyle w:val="Heading3"/>
        <w:spacing w:after="120" w:before="200"/>
      </w:pPr>
      <w:r>
        <w:t xml:space="preserve">The Problem</w:t>
      </w:r>
    </w:p>
    <w:p>
      <w:pPr>
        <w:spacing w:after="160" w:line="300"/>
      </w:pPr>
      <w:r>
        <w:t xml:space="preserve">Workplace abuse is the layer most wellness programs skip and the one without which everything else becomes complicity. Bullying, harassment, and hostile supervision are documented chronic activators of the threat response and are independent predictors of suicidality.</w:t>
      </w:r>
    </w:p>
    <w:p>
      <w:pPr>
        <w:spacing w:after="160" w:line="300"/>
      </w:pPr>
      <w:r>
        <w:t xml:space="preserve">The mechanism is straightforward. A worker who cannot report or resolve abuse without retaliation lives in a sustained state of sympathetic nervous system activation. No amount of breathwork, peer support, or leadership training can override the daily reality of an unsafe workplace if the worker has no functional mechanism to address it.</w:t>
      </w:r>
    </w:p>
    <w:p>
      <w:pPr>
        <w:spacing w:after="160" w:line="300"/>
      </w:pPr>
      <w:r>
        <w:t xml:space="preserve">Fear of retaliation is the single largest documented barrier to reporting workplace misconduct. Many workplace abuse reporting systems exist on paper but are not trusted by workers. The structural choice of reporting infrastructure matters.</w:t>
      </w:r>
    </w:p>
    <w:p>
      <w:pPr>
        <w:pStyle w:val="Heading3"/>
        <w:spacing w:after="120" w:before="200"/>
      </w:pPr>
      <w:r>
        <w:t xml:space="preserve">What Confyde Does</w:t>
      </w:r>
    </w:p>
    <w:p>
      <w:pPr>
        <w:spacing w:after="160" w:line="300"/>
      </w:pPr>
      <w:r>
        <w:t xml:space="preserve">Confyde provides confidential workplace concern reporting and peer support platform infrastructure designed for industries where workers do not trust traditional HR channels. The platform combines anonymous reporting, secure two-way communication, case management, and pattern detection to surface systemic issues before they escalate.</w:t>
      </w:r>
    </w:p>
    <w:p>
      <w:pPr>
        <w:pStyle w:val="Heading3"/>
        <w:spacing w:after="120" w:before="200"/>
      </w:pPr>
      <w:r>
        <w:t xml:space="preserve">The Evidence Base</w:t>
      </w:r>
    </w:p>
    <w:p>
      <w:pPr>
        <w:spacing w:after="160" w:line="300"/>
      </w:pPr>
      <w:r>
        <w:t xml:space="preserve">The anonymous reporting literature has grown substantially over the past five years. Key findings: anonymous reporting systems with secure two-way communication and integrated case management substantially increase reporting rates; resolution speed correlates with continued employee trust; organizations with credible reporting infrastructure see fewer settlements, lower legal exposure, and stronger retention (HR Acuity Workplace Harassment and Misconduct Study; EEOC Select Task Force on Harassment in the Workplace).</w:t>
      </w:r>
    </w:p>
    <w:p>
      <w:pPr>
        <w:pStyle w:val="Heading3"/>
        <w:spacing w:after="120" w:before="200"/>
      </w:pPr>
      <w:r>
        <w:t xml:space="preserve">Role in the Stack</w:t>
      </w:r>
    </w:p>
    <w:p>
      <w:pPr>
        <w:pStyle w:val="ListParagraph"/>
        <w:numPr>
          <w:ilvl w:val="0"/>
          <w:numId w:val="2"/>
        </w:numPr>
        <w:spacing w:after="80" w:line="280"/>
      </w:pPr>
      <w:r>
        <w:t xml:space="preserve">Confidential reporting channel integrated into the Recharge Pro app</w:t>
      </w:r>
    </w:p>
    <w:p>
      <w:pPr>
        <w:pStyle w:val="ListParagraph"/>
        <w:numPr>
          <w:ilvl w:val="0"/>
          <w:numId w:val="2"/>
        </w:numPr>
        <w:spacing w:after="80" w:line="280"/>
      </w:pPr>
      <w:r>
        <w:t xml:space="preserve">Case management and resolution workflow available to organizational leadership</w:t>
      </w:r>
    </w:p>
    <w:p>
      <w:pPr>
        <w:pStyle w:val="ListParagraph"/>
        <w:numPr>
          <w:ilvl w:val="0"/>
          <w:numId w:val="2"/>
        </w:numPr>
        <w:spacing w:after="80" w:line="280"/>
      </w:pPr>
      <w:r>
        <w:t xml:space="preserve">Pattern detection and analytics for surfacing systemic issues</w:t>
      </w:r>
    </w:p>
    <w:p>
      <w:pPr>
        <w:pStyle w:val="ListParagraph"/>
        <w:numPr>
          <w:ilvl w:val="0"/>
          <w:numId w:val="2"/>
        </w:numPr>
        <w:spacing w:after="80" w:line="280"/>
      </w:pPr>
      <w:r>
        <w:t xml:space="preserve">Direct Confyde deployment for organizations seeking full peer support platform implementation</w:t>
      </w:r>
    </w:p>
    <w:p>
      <w:pPr>
        <w:spacing w:after="160" w:line="300"/>
      </w:pPr>
      <w:r>
        <w:t xml:space="preserve">Industry anchor: Pete Smith, Confyde.</w:t>
      </w:r>
    </w:p>
    <w:p>
      <w:r>
        <w:br w:type="page"/>
      </w:r>
    </w:p>
    <w:p>
      <w:pPr>
        <w:pStyle w:val="Heading2"/>
        <w:spacing w:after="160" w:before="280"/>
      </w:pPr>
      <w:r>
        <w:t xml:space="preserve">4.6 Workplace Navigation and Peer Counseling: Empower Work</w:t>
      </w:r>
    </w:p>
    <w:p>
      <w:pPr>
        <w:pStyle w:val="Heading3"/>
        <w:spacing w:after="120" w:before="200"/>
      </w:pPr>
      <w:r>
        <w:t xml:space="preserve">The Problem</w:t>
      </w:r>
    </w:p>
    <w:p>
      <w:pPr>
        <w:spacing w:after="160" w:line="300"/>
      </w:pPr>
      <w:r>
        <w:t xml:space="preserve">Most construction workers will never call an EAP. The reasons are well documented: stigma, fear of confidentiality breach, fear of supervisor retaliation, and the cultural prohibition on help-seeking embedded in construction masculinity norms. The result is that workers facing serious workplace stress (toxic supervisors, harassment, ethical dilemmas, performance reviews, job change decisions) have no accessible sounding board.</w:t>
      </w:r>
    </w:p>
    <w:p>
      <w:pPr>
        <w:spacing w:after="160" w:line="300"/>
      </w:pPr>
      <w:r>
        <w:t xml:space="preserve">The pathway from unaddressed workplace stress to depression, substance use, and suicide is well established. The bottleneck is the moment between awareness and help-seeking, and that bottleneck is where most workers stop.</w:t>
      </w:r>
    </w:p>
    <w:p>
      <w:pPr>
        <w:pStyle w:val="Heading3"/>
        <w:spacing w:after="120" w:before="200"/>
      </w:pPr>
      <w:r>
        <w:t xml:space="preserve">What Empower Work Does</w:t>
      </w:r>
    </w:p>
    <w:p>
      <w:pPr>
        <w:spacing w:after="160" w:line="300"/>
      </w:pPr>
      <w:r>
        <w:t xml:space="preserve">Empower Work is a national nonprofit providing free, anonymous, text-based peer counseling for work issues. Trained peer counselors help workers stabilize, clarify, and decide on a next step in real time. Over 90% of users report feeling better after a conversation. The service is delivered by trained volunteer peer counselors using evidence-based coaching techniques.</w:t>
      </w:r>
    </w:p>
    <w:p>
      <w:pPr>
        <w:pStyle w:val="Heading3"/>
        <w:spacing w:after="120" w:before="200"/>
      </w:pPr>
      <w:r>
        <w:t xml:space="preserve">The Evidence Base</w:t>
      </w:r>
    </w:p>
    <w:p>
      <w:pPr>
        <w:spacing w:after="160" w:line="300"/>
      </w:pPr>
      <w:r>
        <w:t xml:space="preserve">Empower Work's model is grounded in three converging research literatures: peer support research (Holt-Lunstad's meta-analyses establish social isolation as carrying mortality risk equivalent to smoking 15 cigarettes per day), text-based crisis and support intervention research (text modalities reduce barriers to help-seeking in male-dominated and rural populations), and coaching and reflective practice research (coaching produces clarity and decision-making capacity for non-clinical workplace stress).</w:t>
      </w:r>
    </w:p>
    <w:p>
      <w:pPr>
        <w:pStyle w:val="Heading3"/>
        <w:spacing w:after="120" w:before="200"/>
      </w:pPr>
      <w:r>
        <w:t xml:space="preserve">Role in the Stack</w:t>
      </w:r>
    </w:p>
    <w:p>
      <w:pPr>
        <w:pStyle w:val="ListParagraph"/>
        <w:numPr>
          <w:ilvl w:val="0"/>
          <w:numId w:val="2"/>
        </w:numPr>
        <w:spacing w:after="80" w:line="280"/>
      </w:pPr>
      <w:r>
        <w:t xml:space="preserve">Direct text-based access to trained peer counselors integrated into the Recharge Pro app</w:t>
      </w:r>
    </w:p>
    <w:p>
      <w:pPr>
        <w:pStyle w:val="ListParagraph"/>
        <w:numPr>
          <w:ilvl w:val="0"/>
          <w:numId w:val="2"/>
        </w:numPr>
        <w:spacing w:after="80" w:line="280"/>
      </w:pPr>
      <w:r>
        <w:t xml:space="preserve">Drip-fed content on workplace navigation, communication, and decision-making</w:t>
      </w:r>
    </w:p>
    <w:p>
      <w:pPr>
        <w:pStyle w:val="ListParagraph"/>
        <w:numPr>
          <w:ilvl w:val="0"/>
          <w:numId w:val="2"/>
        </w:numPr>
        <w:spacing w:after="80" w:line="280"/>
      </w:pPr>
      <w:r>
        <w:t xml:space="preserve">Warm handoff to Empower Work for workers facing acute workplace stress</w:t>
      </w:r>
    </w:p>
    <w:p>
      <w:pPr>
        <w:pStyle w:val="ListParagraph"/>
        <w:numPr>
          <w:ilvl w:val="0"/>
          <w:numId w:val="2"/>
        </w:numPr>
        <w:spacing w:after="80" w:line="280"/>
      </w:pPr>
      <w:r>
        <w:t xml:space="preserve">Volunteer peer counselor pipeline available to organizations as a workforce development opportunity</w:t>
      </w:r>
    </w:p>
    <w:p>
      <w:pPr>
        <w:spacing w:after="160" w:line="300"/>
      </w:pPr>
      <w:r>
        <w:t xml:space="preserve">Industry anchor: Jaime-Alexis Fowler, Founder and CEO, Empower Work. Empower Work is a nonprofit. There is no cost to deploy this layer of the stack.</w:t>
      </w:r>
    </w:p>
    <w:p>
      <w:r>
        <w:br w:type="page"/>
      </w:r>
    </w:p>
    <w:p>
      <w:pPr>
        <w:pStyle w:val="Heading2"/>
        <w:spacing w:after="160" w:before="280"/>
      </w:pPr>
      <w:r>
        <w:t xml:space="preserve">4.7 Communication and Mental Health Literacy: Proactive Conversations</w:t>
      </w:r>
    </w:p>
    <w:p>
      <w:pPr>
        <w:pStyle w:val="Heading3"/>
        <w:spacing w:after="120" w:before="200"/>
      </w:pPr>
      <w:r>
        <w:t xml:space="preserve">The Problem</w:t>
      </w:r>
    </w:p>
    <w:p>
      <w:pPr>
        <w:spacing w:after="160" w:line="300"/>
      </w:pPr>
      <w:r>
        <w:t xml:space="preserve">Construction workers are surrounded by people and isolated from real conversation. The cultural script for high-quality conversation, the kind that prevents crisis from escalating, simply does not exist on most jobsites. Workers do not know how to start the conversation. Supervisors do not know how to receive it. Coworkers do not know how to follow up.</w:t>
      </w:r>
    </w:p>
    <w:p>
      <w:pPr>
        <w:spacing w:after="160" w:line="300"/>
      </w:pPr>
      <w:r>
        <w:t xml:space="preserve">The CDC's suicide prevention framework identifies promoting connectedness and teaching coping and problem-solving skills as two of seven core strategies. The bridge between these is communication capability: the practical ability to ask a hard question, hold space for a difficult answer, and respond without escalation. This is a learnable skill, and the absence of it is a learned absence.</w:t>
      </w:r>
    </w:p>
    <w:p>
      <w:pPr>
        <w:pStyle w:val="Heading3"/>
        <w:spacing w:after="120" w:before="200"/>
      </w:pPr>
      <w:r>
        <w:t xml:space="preserve">What Proactive Conversations Does</w:t>
      </w:r>
    </w:p>
    <w:p>
      <w:pPr>
        <w:spacing w:after="160" w:line="300"/>
      </w:pPr>
      <w:r>
        <w:t xml:space="preserve">Proactive Conversations, led by Belma McCaffrey and Jess Belsky, delivers communication skill-building specifically calibrated to construction. The work spans difficult conversation training for supervisors, peer-to-peer communication skills for crew members, mental health literacy, and cohort-based programs that build sustained capability over time rather than relying on one-time training.</w:t>
      </w:r>
    </w:p>
    <w:p>
      <w:pPr>
        <w:pStyle w:val="Heading3"/>
        <w:spacing w:after="120" w:before="200"/>
      </w:pPr>
      <w:r>
        <w:t xml:space="preserve">The Evidence Base</w:t>
      </w:r>
    </w:p>
    <w:p>
      <w:pPr>
        <w:spacing w:after="160" w:line="300"/>
      </w:pPr>
      <w:r>
        <w:t xml:space="preserve">The mental health literacy and gatekeeper training literature establishes that brief, structured training in mental health conversation skills produces measurable improvements in supervisor and peer ability to recognize warning signs and respond appropriately. Mental Health First Aid, the most rigorously evaluated international program in this category, demonstrates significant effects on knowledge, attitudes, and helping behaviors in randomized trials. Construction-specific adaptations show higher engagement than generic workplace training.</w:t>
      </w:r>
    </w:p>
    <w:p>
      <w:pPr>
        <w:spacing w:after="160" w:line="300"/>
      </w:pPr>
      <w:r>
        <w:t xml:space="preserve">Nonviolent communication, developed by Marshall Rosenberg, maps directly onto interpersonal neurobiology. Separating observation from evaluation, naming feelings and needs, and making clear requests reduces threat signals the nervous system reads in conversation. NVC is, in physiological terms, a protocol for keeping conversations inside the window of tolerance.</w:t>
      </w:r>
    </w:p>
    <w:p>
      <w:pPr>
        <w:pStyle w:val="Heading3"/>
        <w:spacing w:after="120" w:before="200"/>
      </w:pPr>
      <w:r>
        <w:t xml:space="preserve">Role in the Stack</w:t>
      </w:r>
    </w:p>
    <w:p>
      <w:pPr>
        <w:pStyle w:val="ListParagraph"/>
        <w:numPr>
          <w:ilvl w:val="0"/>
          <w:numId w:val="2"/>
        </w:numPr>
        <w:spacing w:after="80" w:line="280"/>
      </w:pPr>
      <w:r>
        <w:t xml:space="preserve">Daily and weekly conversation prompts drip-fed through the Recharge Pro app</w:t>
      </w:r>
    </w:p>
    <w:p>
      <w:pPr>
        <w:pStyle w:val="ListParagraph"/>
        <w:numPr>
          <w:ilvl w:val="0"/>
          <w:numId w:val="2"/>
        </w:numPr>
        <w:spacing w:after="80" w:line="280"/>
      </w:pPr>
      <w:r>
        <w:t xml:space="preserve">Supervisor-specific training modules for difficult conversations</w:t>
      </w:r>
    </w:p>
    <w:p>
      <w:pPr>
        <w:pStyle w:val="ListParagraph"/>
        <w:numPr>
          <w:ilvl w:val="0"/>
          <w:numId w:val="2"/>
        </w:numPr>
        <w:spacing w:after="80" w:line="280"/>
      </w:pPr>
      <w:r>
        <w:t xml:space="preserve">Toolbox talk content for crew-level practice</w:t>
      </w:r>
    </w:p>
    <w:p>
      <w:pPr>
        <w:pStyle w:val="ListParagraph"/>
        <w:numPr>
          <w:ilvl w:val="0"/>
          <w:numId w:val="2"/>
        </w:numPr>
        <w:spacing w:after="80" w:line="280"/>
      </w:pPr>
      <w:r>
        <w:t xml:space="preserve">Cohort-based programs available as scoped engagements for organizations seeking deeper culture work</w:t>
      </w:r>
    </w:p>
    <w:p>
      <w:pPr>
        <w:spacing w:after="160" w:line="300"/>
      </w:pPr>
      <w:r>
        <w:t xml:space="preserve">Industry anchors: Belma McCaffrey and Jess Belsky, Proactive Conversations.</w:t>
      </w:r>
    </w:p>
    <w:p>
      <w:r>
        <w:br w:type="page"/>
      </w:r>
    </w:p>
    <w:p>
      <w:pPr>
        <w:pStyle w:val="Heading2"/>
        <w:spacing w:after="160" w:before="280"/>
      </w:pPr>
      <w:r>
        <w:t xml:space="preserve">4.8 Family Integration: Project BUILT</w:t>
      </w:r>
    </w:p>
    <w:p>
      <w:pPr>
        <w:pStyle w:val="Heading3"/>
        <w:spacing w:after="120" w:before="200"/>
      </w:pPr>
      <w:r>
        <w:t xml:space="preserve">The Problem</w:t>
      </w:r>
    </w:p>
    <w:p>
      <w:pPr>
        <w:spacing w:after="160" w:line="300"/>
      </w:pPr>
      <w:r>
        <w:t xml:space="preserve">Construction workers are embedded in family systems that absorb their dysregulation, transmit their trauma, and either anchor their recovery or accelerate their collapse. Treating the worker without the family is treating one node and expecting the network to change.</w:t>
      </w:r>
    </w:p>
    <w:p>
      <w:pPr>
        <w:spacing w:after="160" w:line="300"/>
      </w:pPr>
      <w:r>
        <w:t xml:space="preserve">Murray Bowen's foundational work in family systems theory establishes that emotional functioning is transmitted through relational systems, not held in individuals. When the worker is dysregulated, the family system absorbs it. When the family system is dysregulated, the worker carries it onto the jobsite.</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Adverse Childhood Experiences (ACEs) research demonstrates dose-response relationships between childhood trauma and adult depression, addiction, suicide, cardiovascular disease, and early mortality.</w:t>
      </w:r>
      <w:r>
        <w:rPr>
          <w:i/>
          <w:iCs/>
          <w:color w:val="4C4C4C"/>
          <w:sz w:val="18"/>
          <w:szCs w:val="18"/>
        </w:rPr>
        <w:t xml:space="preserve"> Felitti &amp; Anda et al., CDC-Kaiser ACE Study; American Journal of Preventive Medicine, 1998; 25+ years of subsequent research</w:t>
      </w:r>
    </w:p>
    <w:p>
      <w:pPr>
        <w:spacing w:after="160" w:line="300"/>
      </w:pPr>
      <w:r>
        <w:t xml:space="preserve">Construction workforces show elevated ACE scores in the studies that exist. Many workers are carrying unresolved developmental trauma. The family layer is the only layer that can interrupt intergenerational transmission while also providing the protective factor that suicide prevention research identifies as among the strongest predictors of survival: secure attachment to at least one stable, attuned adult relationship.</w:t>
      </w:r>
    </w:p>
    <w:p>
      <w:pPr>
        <w:pStyle w:val="Heading3"/>
        <w:spacing w:after="120" w:before="200"/>
      </w:pPr>
      <w:r>
        <w:t xml:space="preserve">What Project BUILT Does</w:t>
      </w:r>
    </w:p>
    <w:p>
      <w:pPr>
        <w:spacing w:after="160" w:line="300"/>
      </w:pPr>
      <w:r>
        <w:t xml:space="preserve">Project BUILT (501c3) provides the family layer of the stack. This includes the annual Family Retreat program (six-day immersive programs for construction families), family-facing content delivery through the Recharge Pro app (with worker permission and family consent), crisis response infrastructure that includes family in the response, and ongoing family programming for organizations seeking deeper engagement.</w:t>
      </w:r>
    </w:p>
    <w:p>
      <w:pPr>
        <w:spacing w:after="160" w:line="300"/>
      </w:pPr>
      <w:r>
        <w:t xml:space="preserve">Project BUILT participates in the Recharge Pro Stack as the family-layer partner, the same way Vimocity participates as the MSK-layer partner and SAFE Project participates as the recovery-layer partner. The family-layer work is foundationally mission-aligned and is the layer with the strongest underlying scientific case combined with the least commercial development in the existing market.</w:t>
      </w:r>
    </w:p>
    <w:p>
      <w:pPr>
        <w:pStyle w:val="Heading3"/>
        <w:spacing w:after="120" w:before="200"/>
      </w:pPr>
      <w:r>
        <w:t xml:space="preserve">The Evidence Base</w:t>
      </w:r>
    </w:p>
    <w:p>
      <w:pPr>
        <w:spacing w:after="160" w:line="300"/>
      </w:pPr>
      <w:r>
        <w:t xml:space="preserve">The family systems intervention literature for high-risk male populations is more developed in veteran mental health than in construction, but the mechanisms transfer directly. Family-inclusive intervention models demonstrate superior outcomes to individual-only models for depression, PTSD, and substance use disorder. Spouse and family integration in suicide prevention programs significantly improves treatment adherence and reduces re-attempt risk. The CDC's protective environment strategy explicitly identifies family connectedness as a primary protective factor against suicide.</w:t>
      </w:r>
    </w:p>
    <w:p>
      <w:pPr>
        <w:pStyle w:val="Heading3"/>
        <w:spacing w:after="120" w:before="200"/>
      </w:pPr>
      <w:r>
        <w:t xml:space="preserve">Role in the Stack</w:t>
      </w:r>
    </w:p>
    <w:p>
      <w:pPr>
        <w:pStyle w:val="ListParagraph"/>
        <w:numPr>
          <w:ilvl w:val="0"/>
          <w:numId w:val="2"/>
        </w:numPr>
        <w:spacing w:after="80" w:line="280"/>
      </w:pPr>
      <w:r>
        <w:t xml:space="preserve">Family Retreat nomination rights included in Integrated tier (1-2 families/year)</w:t>
      </w:r>
    </w:p>
    <w:p>
      <w:pPr>
        <w:pStyle w:val="ListParagraph"/>
        <w:numPr>
          <w:ilvl w:val="0"/>
          <w:numId w:val="2"/>
        </w:numPr>
        <w:spacing w:after="80" w:line="280"/>
      </w:pPr>
      <w:r>
        <w:t xml:space="preserve">Family Retreat sponsorship and storytelling pipeline included in Full-Service tier</w:t>
      </w:r>
    </w:p>
    <w:p>
      <w:pPr>
        <w:pStyle w:val="ListParagraph"/>
        <w:numPr>
          <w:ilvl w:val="0"/>
          <w:numId w:val="2"/>
        </w:numPr>
        <w:spacing w:after="80" w:line="280"/>
      </w:pPr>
      <w:r>
        <w:t xml:space="preserve">Family Retreat hosting rights for Enterprise tier (one named cohort per year)</w:t>
      </w:r>
    </w:p>
    <w:p>
      <w:pPr>
        <w:pStyle w:val="ListParagraph"/>
        <w:numPr>
          <w:ilvl w:val="0"/>
          <w:numId w:val="2"/>
        </w:numPr>
        <w:spacing w:after="80" w:line="280"/>
      </w:pPr>
      <w:r>
        <w:t xml:space="preserve">Family-facing content delivered through the Recharge Pro app</w:t>
      </w:r>
    </w:p>
    <w:p>
      <w:pPr>
        <w:pStyle w:val="ListParagraph"/>
        <w:numPr>
          <w:ilvl w:val="0"/>
          <w:numId w:val="2"/>
        </w:numPr>
        <w:spacing w:after="80" w:line="280"/>
      </w:pPr>
      <w:r>
        <w:t xml:space="preserve">Crisis response infrastructure includes family integration</w:t>
      </w:r>
    </w:p>
    <w:p>
      <w:r>
        <w:br w:type="page"/>
      </w:r>
    </w:p>
    <w:p>
      <w:pPr>
        <w:pStyle w:val="Heading2"/>
        <w:spacing w:after="160" w:before="280"/>
      </w:pPr>
      <w:r>
        <w:t xml:space="preserve">4.9 Bilingual Safety Systems: Monique Lewis</w:t>
      </w:r>
    </w:p>
    <w:p>
      <w:pPr>
        <w:pStyle w:val="Heading3"/>
        <w:spacing w:after="120" w:before="200"/>
      </w:pPr>
      <w:r>
        <w:t xml:space="preserve">The Problem</w:t>
      </w:r>
    </w:p>
    <w:p>
      <w:pPr>
        <w:spacing w:after="160" w:line="300"/>
      </w:pPr>
      <w:r>
        <w:t xml:space="preserve">A substantial portion of the U.S. construction workforce is Spanish-dominant or bilingual. Safety systems, training materials, mental health resources, and reporting infrastructure that exist only in English create a structural exclusion that has documented consequences for injury rates, mental health outcomes, and worker retention. Workers who cannot fully access safety culture in their primary language are workers who are not fully protected.</w:t>
      </w:r>
    </w:p>
    <w:p>
      <w:pPr>
        <w:pStyle w:val="Heading3"/>
        <w:spacing w:after="120" w:before="200"/>
      </w:pPr>
      <w:r>
        <w:t xml:space="preserve">What Monique Lewis Brings</w:t>
      </w:r>
    </w:p>
    <w:p>
      <w:pPr>
        <w:spacing w:after="160" w:line="300"/>
      </w:pPr>
      <w:r>
        <w:t xml:space="preserve">Monique Lewis delivers bilingual safety system audits, Spanish-language safety culture work, and the translation and cultural adaptation of safety and wellness systems for the substantial Spanish-speaking portion of the construction workforce. This is not translation in the literal sense. It is cultural adaptation that respects how Spanish-dominant workers actually engage with safety, leadership, and wellness systems.</w:t>
      </w:r>
    </w:p>
    <w:p>
      <w:pPr>
        <w:pStyle w:val="Heading3"/>
        <w:spacing w:after="120" w:before="200"/>
      </w:pPr>
      <w:r>
        <w:t xml:space="preserve">Role in the Stack</w:t>
      </w:r>
    </w:p>
    <w:p>
      <w:pPr>
        <w:pStyle w:val="ListParagraph"/>
        <w:numPr>
          <w:ilvl w:val="0"/>
          <w:numId w:val="2"/>
        </w:numPr>
        <w:spacing w:after="80" w:line="280"/>
      </w:pPr>
      <w:r>
        <w:t xml:space="preserve">Bilingual safety system audits for organizations with substantial Spanish-speaking workforces</w:t>
      </w:r>
    </w:p>
    <w:p>
      <w:pPr>
        <w:pStyle w:val="ListParagraph"/>
        <w:numPr>
          <w:ilvl w:val="0"/>
          <w:numId w:val="2"/>
        </w:numPr>
        <w:spacing w:after="80" w:line="280"/>
      </w:pPr>
      <w:r>
        <w:t xml:space="preserve">Spanish-language content adaptation across the partner stack</w:t>
      </w:r>
    </w:p>
    <w:p>
      <w:pPr>
        <w:pStyle w:val="ListParagraph"/>
        <w:numPr>
          <w:ilvl w:val="0"/>
          <w:numId w:val="2"/>
        </w:numPr>
        <w:spacing w:after="80" w:line="280"/>
      </w:pPr>
      <w:r>
        <w:t xml:space="preserve">Cultural responsiveness review of safety and wellness infrastructure</w:t>
      </w:r>
    </w:p>
    <w:p>
      <w:pPr>
        <w:pStyle w:val="ListParagraph"/>
        <w:numPr>
          <w:ilvl w:val="0"/>
          <w:numId w:val="2"/>
        </w:numPr>
        <w:spacing w:after="80" w:line="280"/>
      </w:pPr>
      <w:r>
        <w:t xml:space="preserve">Direct Monique Lewis engagement for deeper bilingual safety culture work</w:t>
      </w:r>
    </w:p>
    <w:p>
      <w:pPr>
        <w:spacing w:after="160" w:line="300"/>
      </w:pPr>
      <w:r>
        <w:t xml:space="preserve">Industry anchor: Monique Lewis. Bilingual safety systems specialist.</w:t>
      </w:r>
    </w:p>
    <w:p>
      <w:r>
        <w:br w:type="page"/>
      </w:r>
    </w:p>
    <w:p>
      <w:pPr>
        <w:pStyle w:val="Heading2"/>
        <w:spacing w:after="160" w:before="280"/>
      </w:pPr>
      <w:r>
        <w:t xml:space="preserve">4.10 Financial Education and Stability</w:t>
      </w:r>
    </w:p>
    <w:p>
      <w:pPr>
        <w:pStyle w:val="Heading3"/>
        <w:spacing w:after="120" w:before="200"/>
      </w:pPr>
      <w:r>
        <w:t xml:space="preserve">The Problem</w:t>
      </w:r>
    </w:p>
    <w:p>
      <w:pPr>
        <w:spacing w:after="160" w:line="300"/>
      </w:pPr>
      <w:r>
        <w:t xml:space="preserve">Financial stress is one of the strongest documented precipitants of completed suicide in the construction workforce. CDC data on industry suicides consistently identifies financial stressors among the top precipitating factors. Equipment World's 2023 industry survey ranked financial issues as the top reported stressor for construction workers.</w:t>
      </w:r>
    </w:p>
    <w:p>
      <w:pPr>
        <w:spacing w:after="160" w:line="300"/>
      </w:pPr>
      <w:r>
        <w:t xml:space="preserve">The structural exposures specific to construction compound the problem: project-end layoffs and seasonal work patterns; weather-dependent income; per-diem mismanagement on travel projects; predatory lending clustered around construction sites; workers' compensation gaps; underbanking for portions of the workforce.</w:t>
      </w:r>
    </w:p>
    <w:p>
      <w:pPr>
        <w:spacing w:after="160" w:line="300"/>
      </w:pPr>
      <w:r>
        <w:t xml:space="preserve">The physiological mechanism is identical to physical threat. Chronic financial stress activates the same HPA axis and sympathetic dominance that produce cardiovascular disease, depression, and substance use vulnerability. Workers in financial crisis cannot be regulated by any upper-layer intervention. Stability is prerequisite, not adjacent.</w:t>
      </w:r>
    </w:p>
    <w:p>
      <w:pPr>
        <w:pStyle w:val="Heading3"/>
        <w:spacing w:after="120" w:before="200"/>
      </w:pPr>
      <w:r>
        <w:t xml:space="preserve">What the Financial Layer Provides</w:t>
      </w:r>
    </w:p>
    <w:p>
      <w:pPr>
        <w:spacing w:after="160" w:line="300"/>
      </w:pPr>
      <w:r>
        <w:t xml:space="preserve">Financial literacy content tailored to trade-specific income patterns, certified financial counseling access for workers escalating beyond app-based content, predatory lending intervention and consumer protection education, and emergency relief fund coordination for crisis events. The specific partner engaged at deployment is selected based on the Recharge Pro diagnostic and the customer's existing benefit structure, drawing from Recharge Pro's vetted financial wellness partner network.</w:t>
      </w:r>
    </w:p>
    <w:p>
      <w:pPr>
        <w:pStyle w:val="Heading3"/>
        <w:spacing w:after="120" w:before="200"/>
      </w:pPr>
      <w:r>
        <w:t xml:space="preserve">The Evidence Base</w:t>
      </w:r>
    </w:p>
    <w:p>
      <w:pPr>
        <w:spacing w:after="160" w:line="300"/>
      </w:pPr>
      <w:r>
        <w:t xml:space="preserve">CDC explicitly identifies strengthening economic supports as one of the seven core suicide prevention strategies. The evidence base supporting financial intervention as a mental health intervention includes workplace financial wellness programs showing reduced absenteeism, presenteeism, and turnover when well-designed; debt counseling intervention studies demonstrating reductions in anxiety and depression symptoms; specific evidence for construction-targeted financial literacy from union-based programs.</w:t>
      </w:r>
    </w:p>
    <w:p>
      <w:pPr>
        <w:spacing w:after="160" w:line="300"/>
      </w:pPr>
      <w:r>
        <w:t xml:space="preserve">The critical distinction in workplace financial wellness is the difference between financial sales (often presented as wellness) and certified financial counseling. The former is conflicted; the latter is intervention. Recharge Pro's financial wellness partner positioning sits in the latter category.</w:t>
      </w:r>
    </w:p>
    <w:p>
      <w:pPr>
        <w:pStyle w:val="Heading3"/>
        <w:spacing w:after="120" w:before="200"/>
      </w:pPr>
      <w:r>
        <w:t xml:space="preserve">Role in the Stack</w:t>
      </w:r>
    </w:p>
    <w:p>
      <w:pPr>
        <w:pStyle w:val="ListParagraph"/>
        <w:numPr>
          <w:ilvl w:val="0"/>
          <w:numId w:val="2"/>
        </w:numPr>
        <w:spacing w:after="80" w:line="280"/>
      </w:pPr>
      <w:r>
        <w:t xml:space="preserve">Financial literacy content delivered through the Recharge Pro app</w:t>
      </w:r>
    </w:p>
    <w:p>
      <w:pPr>
        <w:pStyle w:val="ListParagraph"/>
        <w:numPr>
          <w:ilvl w:val="0"/>
          <w:numId w:val="2"/>
        </w:numPr>
        <w:spacing w:after="80" w:line="280"/>
      </w:pPr>
      <w:r>
        <w:t xml:space="preserve">Emergency relief fund coordination for crisis events</w:t>
      </w:r>
    </w:p>
    <w:p>
      <w:pPr>
        <w:pStyle w:val="ListParagraph"/>
        <w:numPr>
          <w:ilvl w:val="0"/>
          <w:numId w:val="2"/>
        </w:numPr>
        <w:spacing w:after="80" w:line="280"/>
      </w:pPr>
      <w:r>
        <w:t xml:space="preserve">Certified financial counseling access for workers escalating beyond app-based content</w:t>
      </w:r>
    </w:p>
    <w:p>
      <w:pPr>
        <w:pStyle w:val="ListParagraph"/>
        <w:numPr>
          <w:ilvl w:val="0"/>
          <w:numId w:val="2"/>
        </w:numPr>
        <w:spacing w:after="80" w:line="280"/>
      </w:pPr>
      <w:r>
        <w:t xml:space="preserve">Direct partner engagement available for organizations seeking deeper financial wellness programming</w:t>
      </w:r>
    </w:p>
    <w:p>
      <w:r>
        <w:br w:type="page"/>
      </w:r>
    </w:p>
    <w:p>
      <w:pPr>
        <w:pStyle w:val="Heading2"/>
        <w:spacing w:after="160" w:before="280"/>
      </w:pPr>
      <w:r>
        <w:t xml:space="preserve">4.11 Substance Use Disorder and Recovery Support</w:t>
      </w:r>
    </w:p>
    <w:p>
      <w:pPr>
        <w:pStyle w:val="Heading3"/>
        <w:spacing w:after="120" w:before="200"/>
      </w:pPr>
      <w:r>
        <w:t xml:space="preserve">The Problem</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Construction workers die from opioid overdose at six to seven times the rate of workers in any other industry.</w:t>
      </w:r>
      <w:r>
        <w:rPr>
          <w:i/>
          <w:iCs/>
          <w:color w:val="4C4C4C"/>
          <w:sz w:val="18"/>
          <w:szCs w:val="18"/>
        </w:rPr>
        <w:t xml:space="preserve"> CPWR/CDC NIOSH</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Approximately 75% of injured construction workers are prescribed opioid pain medication. About 15% become long-term users. Opioid abuse is associated with a 75% increased likelihood of a suicide attempt; opioid-addicted men are approximately twice as likely to die by suicide.</w:t>
      </w:r>
      <w:r>
        <w:rPr>
          <w:i/>
          <w:iCs/>
          <w:color w:val="4C4C4C"/>
          <w:sz w:val="18"/>
          <w:szCs w:val="18"/>
        </w:rPr>
        <w:t xml:space="preserve"> CNA Financial; CDC; American Society of Safety Professionals; National Academies of Sciences, Engineering, and Medicine</w:t>
      </w:r>
    </w:p>
    <w:p>
      <w:pPr>
        <w:spacing w:after="160" w:line="300"/>
      </w:pPr>
      <w:r>
        <w:t xml:space="preserve">Substance use disorder in construction is not a separate problem from the suicide problem, the family problem, the financial problem, or the workplace abuse problem. It is the common downstream pathway through which all of them produce mortality. Addressing it requires medication-assisted treatment access, recovery coaching, naloxone distribution, and a recovery-friendly workplace culture.</w:t>
      </w:r>
    </w:p>
    <w:p>
      <w:pPr>
        <w:pStyle w:val="Heading3"/>
        <w:spacing w:after="120" w:before="200"/>
      </w:pPr>
      <w:r>
        <w:t xml:space="preserve">What the Recovery Layer Provides</w:t>
      </w:r>
    </w:p>
    <w:p>
      <w:pPr>
        <w:spacing w:after="160" w:line="300"/>
      </w:pPr>
      <w:r>
        <w:t xml:space="preserve">Substance use education and harm reduction content through the Recharge Pro app, naloxone training and on-site naloxone access coordination, recovery coaching for workers in or seeking recovery, medication-assisted treatment clinical pathway navigation, and recovery-friendly workplace policy guidance. The specific partner engaged at deployment is selected based on the Recharge Pro diagnostic and the customer's existing benefit structure, drawing from Recharge Pro's vetted substance use disorder and recovery partner network.</w:t>
      </w:r>
    </w:p>
    <w:p>
      <w:pPr>
        <w:pStyle w:val="Heading3"/>
        <w:spacing w:after="120" w:before="200"/>
      </w:pPr>
      <w:r>
        <w:t xml:space="preserve">The Evidence Base</w:t>
      </w:r>
    </w:p>
    <w:p>
      <w:pPr>
        <w:spacing w:after="160" w:line="300"/>
      </w:pPr>
      <w:r>
        <w:t xml:space="preserve">The substance use disorder treatment evidence base is one of the strongest in mental health. Medication-assisted treatment (MAT) with buprenorphine, methadone, or naltrexone is the most rigorously supported intervention for opioid use disorder, with multiple meta-analyses demonstrating substantial reductions in mortality, relapse, and criminal justice involvement. Recovery coaching shows growing evidence for sustained recovery support when integrated with peer support. Naloxone distribution on jobsites is documented to save lives. Recovery-friendly workplace policies demonstrate measurable improvements in retention, productivity, and worker outcomes.</w:t>
      </w:r>
    </w:p>
    <w:p>
      <w:pPr>
        <w:pStyle w:val="Heading3"/>
        <w:spacing w:after="120" w:before="200"/>
      </w:pPr>
      <w:r>
        <w:t xml:space="preserve">Role in the Stack</w:t>
      </w:r>
    </w:p>
    <w:p>
      <w:pPr>
        <w:pStyle w:val="ListParagraph"/>
        <w:numPr>
          <w:ilvl w:val="0"/>
          <w:numId w:val="2"/>
        </w:numPr>
        <w:spacing w:after="80" w:line="280"/>
      </w:pPr>
      <w:r>
        <w:t xml:space="preserve">Substance use education and harm reduction content through the Recharge Pro app</w:t>
      </w:r>
    </w:p>
    <w:p>
      <w:pPr>
        <w:pStyle w:val="ListParagraph"/>
        <w:numPr>
          <w:ilvl w:val="0"/>
          <w:numId w:val="2"/>
        </w:numPr>
        <w:spacing w:after="80" w:line="280"/>
      </w:pPr>
      <w:r>
        <w:t xml:space="preserve">Naloxone training modules and on-site naloxone access coordination</w:t>
      </w:r>
    </w:p>
    <w:p>
      <w:pPr>
        <w:pStyle w:val="ListParagraph"/>
        <w:numPr>
          <w:ilvl w:val="0"/>
          <w:numId w:val="2"/>
        </w:numPr>
        <w:spacing w:after="80" w:line="280"/>
      </w:pPr>
      <w:r>
        <w:t xml:space="preserve">Recovery coaching access for workers in or seeking recovery</w:t>
      </w:r>
    </w:p>
    <w:p>
      <w:pPr>
        <w:pStyle w:val="ListParagraph"/>
        <w:numPr>
          <w:ilvl w:val="0"/>
          <w:numId w:val="2"/>
        </w:numPr>
        <w:spacing w:after="80" w:line="280"/>
      </w:pPr>
      <w:r>
        <w:t xml:space="preserve">Medication-assisted treatment clinical pathway navigation</w:t>
      </w:r>
    </w:p>
    <w:p>
      <w:pPr>
        <w:pStyle w:val="ListParagraph"/>
        <w:numPr>
          <w:ilvl w:val="0"/>
          <w:numId w:val="2"/>
        </w:numPr>
        <w:spacing w:after="80" w:line="280"/>
      </w:pPr>
      <w:r>
        <w:t xml:space="preserve">Direct partner engagement for organizations seeking deeper recovery program rollout</w:t>
      </w:r>
    </w:p>
    <w:p>
      <w:r>
        <w:br w:type="page"/>
      </w:r>
    </w:p>
    <w:p>
      <w:pPr>
        <w:pStyle w:val="Heading2"/>
        <w:spacing w:after="160" w:before="280"/>
      </w:pPr>
      <w:r>
        <w:t xml:space="preserve">4.12 Legal Support: An Acknowledged Gap</w:t>
      </w:r>
    </w:p>
    <w:p>
      <w:pPr>
        <w:spacing w:after="160" w:line="300"/>
      </w:pPr>
      <w:r>
        <w:t xml:space="preserve">Workers in legal distress carry massive cognitive load and acute crisis risk. The categories that show up most frequently in the construction workforce include family law (custody disputes, divorce, child support), criminal matters (DUI, drug charges often tied to substance use disorder), immigration issues, civil disputes (housing, consumer debt, identity theft, wage theft), and workers' compensation disputes.</w:t>
      </w:r>
    </w:p>
    <w:p>
      <w:pPr>
        <w:spacing w:after="160" w:line="300"/>
      </w:pPr>
      <w:r>
        <w:t xml:space="preserve">Each of these is itself a sustained activator of allostatic load. Many workers do not address them because they cannot afford legal counsel, do not know where to start, or fear that engaging the legal system will worsen their situation. Unaddressed legal distress correlates with suicide attempts in the broader literature.</w:t>
      </w:r>
    </w:p>
    <w:p>
      <w:pPr>
        <w:spacing w:after="160" w:line="300"/>
      </w:pPr>
      <w:r>
        <w:t xml:space="preserve">This layer is acknowledged but is not currently filled by a named partner in the Recharge Pro Stack. The path to filling it includes pro bono and reduced-fee legal partnerships with construction-engaged firms, Legal Aid and civil legal aid organizations in major construction markets, state bar association partnerships, and national legal services nonprofits. Recharge Pro is actively building this partnership and will integrate it into the stack when the right partner is named.</w:t>
      </w:r>
    </w:p>
    <w:p>
      <w:pPr>
        <w:spacing w:after="160" w:line="300"/>
      </w:pPr>
      <w:r>
        <w:t xml:space="preserve">Until then, organizations deploying the Recharge Pro Stack receive the eight named partner layers, and the legal layer is addressed on a case-by-case basis through warm-handoff referrals to appropriate community resources.</w:t>
      </w:r>
    </w:p>
    <w:p>
      <w:r>
        <w:br w:type="page"/>
      </w:r>
    </w:p>
    <w:p>
      <w:pPr>
        <w:pStyle w:val="Heading1"/>
        <w:spacing w:after="200" w:before="360"/>
      </w:pPr>
      <w:r>
        <w:t xml:space="preserve">5. The AI Concierge: How Personalization Works</w:t>
      </w:r>
    </w:p>
    <w:p>
      <w:pPr>
        <w:spacing w:after="160" w:line="300"/>
      </w:pPr>
      <w:r>
        <w:t xml:space="preserve">The Recharge Pro app is the user-facing platform that aggregates the partner content and personalizes the user journey. It is not a content producer for any of the eleven layers above. The science lives with the partners. Recharge Pro's contribution is delivery quality, individualization, sequencing, and the warm handoff to deeper engagement when warranted.</w:t>
      </w:r>
    </w:p>
    <w:p>
      <w:pPr>
        <w:pStyle w:val="Heading2"/>
        <w:spacing w:after="160" w:before="280"/>
      </w:pPr>
      <w:r>
        <w:t xml:space="preserve">5.1 The Evidence Base for AI-Driven Personalized Mental Health Delivery</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A 2025 PRISMA-ScR scoping review of 36 empirical studies on AI-driven digital interventions in mental health found growing evidence for AI contributions to expanding access, enhancing symptom monitoring, and supporting personalized interventions.</w:t>
      </w:r>
      <w:r>
        <w:rPr>
          <w:i/>
          <w:iCs/>
          <w:color w:val="4C4C4C"/>
          <w:sz w:val="18"/>
          <w:szCs w:val="18"/>
        </w:rPr>
        <w:t xml:space="preserve"> Healthcare 2025;13(10):1205, MDPI</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A 2025 systematic review and meta-analysis of AI-driven conversational agents found NLP-enhanced systems exhibit superior contextual understanding compared to traditional digital interventions, enabling personalized, interactive support.</w:t>
      </w:r>
      <w:r>
        <w:rPr>
          <w:i/>
          <w:iCs/>
          <w:color w:val="4C4C4C"/>
          <w:sz w:val="18"/>
          <w:szCs w:val="18"/>
        </w:rPr>
        <w:t xml:space="preserve"> Feng et al., Journal of Medical Internet Research 2025</w:t>
      </w:r>
    </w:p>
    <w:p>
      <w:pPr>
        <w:pBdr>
          <w:top w:val="single" w:color="6CC04A" w:sz="4"/>
          <w:left w:val="single" w:color="6CC04A" w:sz="24" w:space="12"/>
          <w:bottom w:val="single" w:color="6CC04A" w:sz="4"/>
          <w:right w:val="single" w:color="6CC04A" w:sz="4"/>
        </w:pBdr>
        <w:shd w:fill="F4F9EE" w:val="clear"/>
        <w:spacing w:after="160" w:before="120" w:line="280"/>
        <w:ind w:left="240"/>
      </w:pPr>
      <w:r>
        <w:rPr>
          <w:b/>
          <w:bCs/>
          <w:color w:val="1A1A1A"/>
        </w:rPr>
        <w:t xml:space="preserve">A 2025 systematic review of 62 studies on AI-assisted mental health intervention identified personalization approaches as one of four critical dimensions for sustainability and effectiveness.</w:t>
      </w:r>
      <w:r>
        <w:rPr>
          <w:i/>
          <w:iCs/>
          <w:color w:val="4C4C4C"/>
          <w:sz w:val="18"/>
          <w:szCs w:val="18"/>
        </w:rPr>
        <w:t xml:space="preserve"> PubMed Central 12469610, 2025</w:t>
      </w:r>
    </w:p>
    <w:p>
      <w:pPr>
        <w:spacing w:after="160" w:line="300"/>
      </w:pPr>
      <w:r>
        <w:t xml:space="preserve">The consensus across these reviews: AI-driven personalized digital mental health interventions show real and growing evidence as complementary supports that expand access, improve symptom tracking, and enable personalization. They do not replace human-delivered care. The most effective deployments incorporate human assistance rather than relying on fully autonomous AI (69.23% of generative AI interventions in one recent systematic review used some form of human assistance).</w:t>
      </w:r>
    </w:p>
    <w:p>
      <w:pPr>
        <w:spacing w:after="160" w:line="300"/>
      </w:pPr>
      <w:r>
        <w:t xml:space="preserve">This is exactly the Recharge Pro architecture: AI for personalization, sequencing, and delivery; human partners for the actual intervention work.</w:t>
      </w:r>
    </w:p>
    <w:p>
      <w:pPr>
        <w:pStyle w:val="Heading2"/>
        <w:spacing w:after="160" w:before="280"/>
      </w:pPr>
      <w:r>
        <w:t xml:space="preserve">5.2 What the AI Concierge Does</w:t>
      </w:r>
    </w:p>
    <w:p>
      <w:pPr>
        <w:pStyle w:val="ListParagraph"/>
        <w:numPr>
          <w:ilvl w:val="0"/>
          <w:numId w:val="2"/>
        </w:numPr>
        <w:spacing w:after="80" w:line="280"/>
      </w:pPr>
      <w:r>
        <w:rPr>
          <w:b/>
          <w:bCs/>
        </w:rPr>
        <w:t xml:space="preserve">Intake and assessment. </w:t>
      </w:r>
      <w:r>
        <w:t xml:space="preserve">Validated brief screens (PHQ-9 for depression, GAD-7 for anxiety, AUDIT-C for alcohol use, UCLA-3 for loneliness) administered conversationally and tracked over time. Severity-appropriate routing.</w:t>
      </w:r>
    </w:p>
    <w:p>
      <w:pPr>
        <w:pStyle w:val="ListParagraph"/>
        <w:numPr>
          <w:ilvl w:val="0"/>
          <w:numId w:val="2"/>
        </w:numPr>
        <w:spacing w:after="80" w:line="280"/>
      </w:pPr>
      <w:r>
        <w:rPr>
          <w:b/>
          <w:bCs/>
        </w:rPr>
        <w:t xml:space="preserve">Personalized content delivery. </w:t>
      </w:r>
      <w:r>
        <w:t xml:space="preserve">Drip-fed content from across the partner stack, sequenced to individual user needs, schedule, role, life circumstances, and trajectory.</w:t>
      </w:r>
    </w:p>
    <w:p>
      <w:pPr>
        <w:pStyle w:val="ListParagraph"/>
        <w:numPr>
          <w:ilvl w:val="0"/>
          <w:numId w:val="2"/>
        </w:numPr>
        <w:spacing w:after="80" w:line="280"/>
      </w:pPr>
      <w:r>
        <w:rPr>
          <w:b/>
          <w:bCs/>
        </w:rPr>
        <w:t xml:space="preserve">Behavioral cueing and habit formation. </w:t>
      </w:r>
      <w:r>
        <w:t xml:space="preserve">Timing, prompting, and reinforcement aligned to user schedule and behavior patterns rather than generic broadcast.</w:t>
      </w:r>
    </w:p>
    <w:p>
      <w:pPr>
        <w:pStyle w:val="ListParagraph"/>
        <w:numPr>
          <w:ilvl w:val="0"/>
          <w:numId w:val="2"/>
        </w:numPr>
        <w:spacing w:after="80" w:line="280"/>
      </w:pPr>
      <w:r>
        <w:rPr>
          <w:b/>
          <w:bCs/>
        </w:rPr>
        <w:t xml:space="preserve">Wearable integration. </w:t>
      </w:r>
      <w:r>
        <w:t xml:space="preserve">HRV, sleep, and activity data integration where available and consented, feeding back into personalization.</w:t>
      </w:r>
    </w:p>
    <w:p>
      <w:pPr>
        <w:pStyle w:val="ListParagraph"/>
        <w:numPr>
          <w:ilvl w:val="0"/>
          <w:numId w:val="2"/>
        </w:numPr>
        <w:spacing w:after="80" w:line="280"/>
      </w:pPr>
      <w:r>
        <w:rPr>
          <w:b/>
          <w:bCs/>
        </w:rPr>
        <w:t xml:space="preserve">Risk detection and warm handoff. </w:t>
      </w:r>
      <w:r>
        <w:t xml:space="preserve">Pattern recognition for escalating risk with structured warm handoff to appropriate human-delivered partner intervention.</w:t>
      </w:r>
    </w:p>
    <w:p>
      <w:pPr>
        <w:pStyle w:val="ListParagraph"/>
        <w:numPr>
          <w:ilvl w:val="0"/>
          <w:numId w:val="2"/>
        </w:numPr>
        <w:spacing w:after="80" w:line="280"/>
      </w:pPr>
      <w:r>
        <w:rPr>
          <w:b/>
          <w:bCs/>
        </w:rPr>
        <w:t xml:space="preserve">Outcome tracking. </w:t>
      </w:r>
      <w:r>
        <w:t xml:space="preserve">Leading, mid-range, and lagging measurement infrastructure that feeds back into both user experience and program-level reporting.</w:t>
      </w:r>
    </w:p>
    <w:p>
      <w:pPr>
        <w:pStyle w:val="Heading2"/>
        <w:spacing w:after="160" w:before="280"/>
      </w:pPr>
      <w:r>
        <w:t xml:space="preserve">5.3 What the AI Concierge Does Not Do</w:t>
      </w:r>
    </w:p>
    <w:p>
      <w:pPr>
        <w:spacing w:after="160" w:line="300"/>
      </w:pPr>
      <w:r>
        <w:t xml:space="preserve">Equally important to name what the AI layer does not do. The same systematic reviews that document benefits also document boundaries:</w:t>
      </w:r>
    </w:p>
    <w:p>
      <w:pPr>
        <w:pStyle w:val="ListParagraph"/>
        <w:numPr>
          <w:ilvl w:val="0"/>
          <w:numId w:val="2"/>
        </w:numPr>
        <w:spacing w:after="80" w:line="280"/>
      </w:pPr>
      <w:r>
        <w:t xml:space="preserve">It does not replace clinical care for diagnosable conditions</w:t>
      </w:r>
    </w:p>
    <w:p>
      <w:pPr>
        <w:pStyle w:val="ListParagraph"/>
        <w:numPr>
          <w:ilvl w:val="0"/>
          <w:numId w:val="2"/>
        </w:numPr>
        <w:spacing w:after="80" w:line="280"/>
      </w:pPr>
      <w:r>
        <w:t xml:space="preserve">It does not replace human peer counseling (Empower Work is delivered by trained human peer counselors via the app's text channel)</w:t>
      </w:r>
    </w:p>
    <w:p>
      <w:pPr>
        <w:pStyle w:val="ListParagraph"/>
        <w:numPr>
          <w:ilvl w:val="0"/>
          <w:numId w:val="2"/>
        </w:numPr>
        <w:spacing w:after="80" w:line="280"/>
      </w:pPr>
      <w:r>
        <w:t xml:space="preserve">It does not deliver therapy or any clinical intervention requiring licensure</w:t>
      </w:r>
    </w:p>
    <w:p>
      <w:pPr>
        <w:pStyle w:val="ListParagraph"/>
        <w:numPr>
          <w:ilvl w:val="0"/>
          <w:numId w:val="2"/>
        </w:numPr>
        <w:spacing w:after="80" w:line="280"/>
      </w:pPr>
      <w:r>
        <w:t xml:space="preserve">It does not make crisis judgments without human review for high-risk indicators</w:t>
      </w:r>
    </w:p>
    <w:p>
      <w:pPr>
        <w:pStyle w:val="ListParagraph"/>
        <w:numPr>
          <w:ilvl w:val="0"/>
          <w:numId w:val="2"/>
        </w:numPr>
        <w:spacing w:after="80" w:line="280"/>
      </w:pPr>
      <w:r>
        <w:t xml:space="preserve">It does not store or share personal information without explicit consent, and complies with HIPAA where clinical data crosses the threshold</w:t>
      </w:r>
    </w:p>
    <w:p>
      <w:pPr>
        <w:spacing w:after="160" w:line="300"/>
      </w:pPr>
      <w:r>
        <w:t xml:space="preserve">This boundary is both ethical and strategic. The AI orchestration layer is most defensible when it expands access and personalizes delivery, and least defensible when it tries to be the intervention itself. The partner-aggregated architecture is what keeps Recharge Pro on the right side of that line.</w:t>
      </w:r>
    </w:p>
    <w:p>
      <w:r>
        <w:br w:type="page"/>
      </w:r>
    </w:p>
    <w:p>
      <w:pPr>
        <w:pStyle w:val="Heading1"/>
        <w:spacing w:after="200" w:before="360"/>
      </w:pPr>
      <w:r>
        <w:t xml:space="preserve">6. The Business Case</w:t>
      </w:r>
    </w:p>
    <w:p>
      <w:pPr>
        <w:spacing w:after="160" w:line="300"/>
      </w:pPr>
      <w:r>
        <w:t xml:space="preserve">Construction executives evaluating wellness investments need three questions answered. What does it cost? What does it return? What is the risk of doing nothing? This section answers all three.</w:t>
      </w:r>
    </w:p>
    <w:p>
      <w:pPr>
        <w:pStyle w:val="Heading2"/>
        <w:spacing w:after="160" w:before="280"/>
      </w:pPr>
      <w:r>
        <w:t xml:space="preserve">6.1 The Cost: How Recharge Pro Is Priced</w:t>
      </w:r>
    </w:p>
    <w:p>
      <w:pPr>
        <w:spacing w:after="160" w:line="300"/>
      </w:pPr>
      <w:r>
        <w:t xml:space="preserve">The Recharge Pro Stack is priced in three layers plus optional dream-team engagements. The pricing is transparent and tiered, not bundled in a way that hides costs.</w:t>
      </w:r>
    </w:p>
    <w:p>
      <w:pPr>
        <w:pStyle w:val="Heading3"/>
        <w:spacing w:after="120" w:before="200"/>
      </w:pPr>
      <w:r>
        <w:t xml:space="preserve">Layer 1: Equipment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Equipment</w:t>
            </w:r>
          </w:p>
        </w:tc>
        <w:tc>
          <w:tcPr>
            <w:tcW w:type="dxa" w:w="208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Price</w:t>
            </w:r>
          </w:p>
        </w:tc>
        <w:tc>
          <w:tcPr>
            <w:tcW w:type="dxa" w:w="416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Included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bCs/>
                <w:color w:val="1A1A1A"/>
              </w:rPr>
              <w:t xml:space="preserve">Recharge Booth</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$30,000 each</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12-min reset. Grounding mat, sound, vagus nerve stim, full-body red light. 10x10 footprint.</w:t>
            </w:r>
          </w:p>
        </w:tc>
      </w:tr>
      <w:tr>
        <w:tc>
          <w:tcPr>
            <w:tcW w:type="dxa" w:w="312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bCs/>
                <w:color w:val="1A1A1A"/>
              </w:rPr>
              <w:t xml:space="preserve">Recharge Room</w:t>
            </w:r>
          </w:p>
        </w:tc>
        <w:tc>
          <w:tcPr>
            <w:tcW w:type="dxa" w:w="208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$50,000 each</w:t>
            </w:r>
          </w:p>
        </w:tc>
        <w:tc>
          <w:tcPr>
            <w:tcW w:type="dxa" w:w="416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33-min full recovery. Everything in Booth plus cold plunge and infrared sauna. 20x20 footprint.</w:t>
            </w:r>
          </w:p>
        </w:tc>
      </w:tr>
    </w:tbl>
    <w:p>
      <w:pPr>
        <w:spacing w:after="80"/>
      </w:pPr>
      <w:r>
        <w:t xml:space="preserve"/>
      </w:r>
    </w:p>
    <w:p>
      <w:pPr>
        <w:pStyle w:val="Heading3"/>
        <w:spacing w:after="120" w:before="200"/>
      </w:pPr>
      <w:r>
        <w:t xml:space="preserve">Layer 2: Implementation (One-Time, Per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1872"/>
        <w:gridCol w:w="4992"/>
      </w:tblGrid>
      <w:tr>
        <w:trPr>
          <w:tblHeader/>
        </w:trPr>
        <w:tc>
          <w:tcPr>
            <w:tcW w:type="dxa" w:w="2496"/>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Project Size</w:t>
            </w:r>
          </w:p>
        </w:tc>
        <w:tc>
          <w:tcPr>
            <w:tcW w:type="dxa" w:w="1872"/>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Price</w:t>
            </w:r>
          </w:p>
        </w:tc>
        <w:tc>
          <w:tcPr>
            <w:tcW w:type="dxa" w:w="4992"/>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Included</w:t>
            </w:r>
          </w:p>
        </w:tc>
      </w:tr>
      <w:tr>
        <w:tc>
          <w:tcPr>
            <w:tcW w:type="dxa" w:w="249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bCs/>
                <w:color w:val="1A1A1A"/>
              </w:rPr>
              <w:t xml:space="preserve">Small</w:t>
            </w:r>
          </w:p>
          <w:p>
            <w:pPr>
              <w:spacing w:after="40"/>
            </w:pPr>
            <w:r>
              <w:rPr>
                <w:b/>
                <w:bCs/>
                <w:color w:val="1A1A1A"/>
              </w:rPr>
              <w:t xml:space="preserve">(&lt;500 workers)</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$45,000</w:t>
            </w:r>
          </w:p>
        </w:tc>
        <w:tc>
          <w:tcPr>
            <w:tcW w:type="dxa" w:w="499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Site survey, install coordination, single champion onboarding, basic comms toolkit, workforce launch, baseline diagnostic</w:t>
            </w:r>
          </w:p>
        </w:tc>
      </w:tr>
      <w:tr>
        <w:tc>
          <w:tcPr>
            <w:tcW w:type="dxa" w:w="249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bCs/>
                <w:color w:val="1A1A1A"/>
              </w:rPr>
              <w:t xml:space="preserve">Mid</w:t>
            </w:r>
          </w:p>
          <w:p>
            <w:pPr>
              <w:spacing w:after="40"/>
            </w:pPr>
            <w:r>
              <w:rPr>
                <w:b/>
                <w:bCs/>
                <w:color w:val="1A1A1A"/>
              </w:rPr>
              <w:t xml:space="preserve">(500-1,500 workers)</w:t>
            </w:r>
          </w:p>
        </w:tc>
        <w:tc>
          <w:tcPr>
            <w:tcW w:type="dxa" w:w="1872"/>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$75,000</w:t>
            </w:r>
          </w:p>
        </w:tc>
        <w:tc>
          <w:tcPr>
            <w:tcW w:type="dxa" w:w="4992"/>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Everything in Small, plus 2-day on-site launch, 2-3 champion cohort, expanded comms toolkit, workforce launch event</w:t>
            </w:r>
          </w:p>
        </w:tc>
      </w:tr>
      <w:tr>
        <w:tc>
          <w:tcPr>
            <w:tcW w:type="dxa" w:w="249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bCs/>
                <w:color w:val="1A1A1A"/>
              </w:rPr>
              <w:t xml:space="preserve">Hyperscale</w:t>
            </w:r>
          </w:p>
          <w:p>
            <w:pPr>
              <w:spacing w:after="40"/>
            </w:pPr>
            <w:r>
              <w:rPr>
                <w:b/>
                <w:bCs/>
                <w:color w:val="1A1A1A"/>
              </w:rPr>
              <w:t xml:space="preserve">(1,500+ workers)</w:t>
            </w:r>
          </w:p>
        </w:tc>
        <w:tc>
          <w:tcPr>
            <w:tcW w:type="dxa" w:w="187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$125,000</w:t>
            </w:r>
          </w:p>
        </w:tc>
        <w:tc>
          <w:tcPr>
            <w:tcW w:type="dxa" w:w="499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Everything in Mid, plus dedicated implementation lead, multi-day on-site launch, full champion cohort training, executive briefing for owner team, custom comms toolkit</w:t>
            </w:r>
          </w:p>
        </w:tc>
      </w:tr>
    </w:tbl>
    <w:p>
      <w:pPr>
        <w:spacing w:after="80"/>
      </w:pPr>
      <w:r>
        <w:t xml:space="preserve"/>
      </w:r>
    </w:p>
    <w:p>
      <w:pPr>
        <w:pStyle w:val="Heading3"/>
        <w:spacing w:after="120" w:before="200"/>
      </w:pPr>
      <w:r>
        <w:t xml:space="preserve">Layer 3: Ongoing Service (Monthly Subscription Per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64"/>
        <w:gridCol w:w="1664"/>
        <w:gridCol w:w="3952"/>
      </w:tblGrid>
      <w:tr>
        <w:trPr>
          <w:tblHeader/>
        </w:trPr>
        <w:tc>
          <w:tcPr>
            <w:tcW w:type="dxa" w:w="208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Tier</w:t>
            </w:r>
          </w:p>
        </w:tc>
        <w:tc>
          <w:tcPr>
            <w:tcW w:type="dxa" w:w="1664"/>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Monthly</w:t>
            </w:r>
          </w:p>
        </w:tc>
        <w:tc>
          <w:tcPr>
            <w:tcW w:type="dxa" w:w="1664"/>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Annualized</w:t>
            </w:r>
          </w:p>
        </w:tc>
        <w:tc>
          <w:tcPr>
            <w:tcW w:type="dxa" w:w="3952"/>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What You Get</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bCs/>
                <w:color w:val="1A1A1A"/>
              </w:rPr>
              <w:t xml:space="preserve">Core</w:t>
            </w:r>
          </w:p>
        </w:tc>
        <w:tc>
          <w:tcPr>
            <w:tcW w:type="dxa" w:w="166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$7,500</w:t>
            </w:r>
          </w:p>
        </w:tc>
        <w:tc>
          <w:tcPr>
            <w:tcW w:type="dxa" w:w="166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$90,000</w:t>
            </w:r>
          </w:p>
        </w:tc>
        <w:tc>
          <w:tcPr>
            <w:tcW w:type="dxa" w:w="395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App for up to 250 workers. Quarterly virtual check-in. Branded signage, content refresh, KPI tracking. Champion cohort access. 1 day/month on-site Peer Support Specialist.</w:t>
            </w:r>
          </w:p>
        </w:tc>
      </w:tr>
      <w:tr>
        <w:tc>
          <w:tcPr>
            <w:tcW w:type="dxa" w:w="2080"/>
            <w:tcBorders>
              <w:top w:val="single" w:color="CCCCCC" w:sz="4"/>
              <w:left w:val="single" w:color="CCCCCC" w:sz="4"/>
              <w:bottom w:val="single" w:color="CCCCCC" w:sz="4"/>
              <w:right w:val="single" w:color="CCCCCC" w:sz="4"/>
            </w:tcBorders>
            <w:shd w:fill="EAF6E0" w:val="clear"/>
            <w:tcMar>
              <w:top w:type="dxa" w:w="100"/>
              <w:left w:type="dxa" w:w="140"/>
              <w:bottom w:type="dxa" w:w="100"/>
              <w:right w:type="dxa" w:w="140"/>
            </w:tcMar>
          </w:tcPr>
          <w:p>
            <w:pPr>
              <w:spacing w:after="40"/>
            </w:pPr>
            <w:r>
              <w:rPr>
                <w:b/>
                <w:bCs/>
                <w:color w:val="1A1A1A"/>
              </w:rPr>
              <w:t xml:space="preserve">Integrated</w:t>
            </w:r>
          </w:p>
          <w:p>
            <w:pPr>
              <w:spacing w:after="40"/>
            </w:pPr>
            <w:r>
              <w:rPr>
                <w:b/>
                <w:bCs/>
                <w:color w:val="1A1A1A"/>
              </w:rPr>
              <w:t xml:space="preserve">(Most Popular)</w:t>
            </w:r>
          </w:p>
        </w:tc>
        <w:tc>
          <w:tcPr>
            <w:tcW w:type="dxa" w:w="1664"/>
            <w:tcBorders>
              <w:top w:val="single" w:color="CCCCCC" w:sz="4"/>
              <w:left w:val="single" w:color="CCCCCC" w:sz="4"/>
              <w:bottom w:val="single" w:color="CCCCCC" w:sz="4"/>
              <w:right w:val="single" w:color="CCCCCC" w:sz="4"/>
            </w:tcBorders>
            <w:shd w:fill="EAF6E0" w:val="clear"/>
            <w:tcMar>
              <w:top w:type="dxa" w:w="100"/>
              <w:left w:type="dxa" w:w="140"/>
              <w:bottom w:type="dxa" w:w="100"/>
              <w:right w:type="dxa" w:w="140"/>
            </w:tcMar>
          </w:tcPr>
          <w:p>
            <w:pPr>
              <w:spacing w:after="40"/>
            </w:pPr>
            <w:r>
              <w:rPr>
                <w:b w:val="false"/>
                <w:bCs w:val="false"/>
                <w:color w:val="1A1A1A"/>
              </w:rPr>
              <w:t xml:space="preserve">$14,000</w:t>
            </w:r>
          </w:p>
        </w:tc>
        <w:tc>
          <w:tcPr>
            <w:tcW w:type="dxa" w:w="1664"/>
            <w:tcBorders>
              <w:top w:val="single" w:color="CCCCCC" w:sz="4"/>
              <w:left w:val="single" w:color="CCCCCC" w:sz="4"/>
              <w:bottom w:val="single" w:color="CCCCCC" w:sz="4"/>
              <w:right w:val="single" w:color="CCCCCC" w:sz="4"/>
            </w:tcBorders>
            <w:shd w:fill="EAF6E0" w:val="clear"/>
            <w:tcMar>
              <w:top w:type="dxa" w:w="100"/>
              <w:left w:type="dxa" w:w="140"/>
              <w:bottom w:type="dxa" w:w="100"/>
              <w:right w:type="dxa" w:w="140"/>
            </w:tcMar>
          </w:tcPr>
          <w:p>
            <w:pPr>
              <w:spacing w:after="40"/>
            </w:pPr>
            <w:r>
              <w:rPr>
                <w:b w:val="false"/>
                <w:bCs w:val="false"/>
                <w:color w:val="1A1A1A"/>
              </w:rPr>
              <w:t xml:space="preserve">$168,000</w:t>
            </w:r>
          </w:p>
        </w:tc>
        <w:tc>
          <w:tcPr>
            <w:tcW w:type="dxa" w:w="3952"/>
            <w:tcBorders>
              <w:top w:val="single" w:color="CCCCCC" w:sz="4"/>
              <w:left w:val="single" w:color="CCCCCC" w:sz="4"/>
              <w:bottom w:val="single" w:color="CCCCCC" w:sz="4"/>
              <w:right w:val="single" w:color="CCCCCC" w:sz="4"/>
            </w:tcBorders>
            <w:shd w:fill="EAF6E0" w:val="clear"/>
            <w:tcMar>
              <w:top w:type="dxa" w:w="100"/>
              <w:left w:type="dxa" w:w="140"/>
              <w:bottom w:type="dxa" w:w="100"/>
              <w:right w:type="dxa" w:w="140"/>
            </w:tcMar>
          </w:tcPr>
          <w:p>
            <w:pPr>
              <w:spacing w:after="40"/>
            </w:pPr>
            <w:r>
              <w:rPr>
                <w:b w:val="false"/>
                <w:bCs w:val="false"/>
                <w:color w:val="1A1A1A"/>
              </w:rPr>
              <w:t xml:space="preserve">Everything in Core, plus: app for up to 1,000 workers, monthly leadership alignment session, monthly group session for foremen/lead hands, custom pulse-check tools, quarterly impact report, 1-2 Family Retreat nominations/year, 2 days/month on-site Peer Support Specialist.</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bCs/>
                <w:color w:val="1A1A1A"/>
              </w:rPr>
              <w:t xml:space="preserve">Full-Service</w:t>
            </w:r>
          </w:p>
          <w:p>
            <w:pPr>
              <w:spacing w:after="40"/>
            </w:pPr>
            <w:r>
              <w:rPr>
                <w:b/>
                <w:bCs/>
                <w:color w:val="1A1A1A"/>
              </w:rPr>
              <w:t xml:space="preserve">(Flagship)</w:t>
            </w:r>
          </w:p>
        </w:tc>
        <w:tc>
          <w:tcPr>
            <w:tcW w:type="dxa" w:w="166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$24,000</w:t>
            </w:r>
          </w:p>
        </w:tc>
        <w:tc>
          <w:tcPr>
            <w:tcW w:type="dxa" w:w="166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$288,000</w:t>
            </w:r>
          </w:p>
        </w:tc>
        <w:tc>
          <w:tcPr>
            <w:tcW w:type="dxa" w:w="395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Everything in Integrated, plus: app for unlimited workers, monthly deep-dive ROI report, university research partnership access (U of A, ASU, Pepperdine), executive briefings with ESG and HR reporting, Family Retreat sponsorship and storytelling pipeline, 4 days/month on-site Peer Support Specialist.</w:t>
            </w:r>
          </w:p>
        </w:tc>
      </w:tr>
      <w:tr>
        <w:tc>
          <w:tcPr>
            <w:tcW w:type="dxa" w:w="208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bCs/>
                <w:color w:val="1A1A1A"/>
              </w:rPr>
              <w:t xml:space="preserve">Enterprise</w:t>
            </w:r>
          </w:p>
        </w:tc>
        <w:tc>
          <w:tcPr>
            <w:tcW w:type="dxa" w:w="1664"/>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From $36,000</w:t>
            </w:r>
          </w:p>
        </w:tc>
        <w:tc>
          <w:tcPr>
            <w:tcW w:type="dxa" w:w="1664"/>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Custom</w:t>
            </w:r>
          </w:p>
        </w:tc>
        <w:tc>
          <w:tcPr>
            <w:tcW w:type="dxa" w:w="3952"/>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Everything in Full-Service, plus: multi-project deployments with shared peer support team, 5+ days/month per project peer support team, joint university research with named publication rights, custom certification pathway across the enterprise, quarterly executive briefings with end-client owner teams, Family Retreat hosting rights (one named cohort per year), direct executive sponsorship from Recharge Pro and PIA leadership.</w:t>
            </w:r>
          </w:p>
        </w:tc>
      </w:tr>
    </w:tbl>
    <w:p>
      <w:pPr>
        <w:spacing w:after="80"/>
      </w:pPr>
      <w:r>
        <w:t xml:space="preserve"/>
      </w:r>
    </w:p>
    <w:p>
      <w:pPr>
        <w:pStyle w:val="Heading3"/>
        <w:spacing w:after="120" w:before="200"/>
      </w:pPr>
      <w:r>
        <w:t xml:space="preserve">Layer 4: Dream Team Engagements (À La Carte)</w:t>
      </w:r>
    </w:p>
    <w:p>
      <w:pPr>
        <w:spacing w:after="160" w:line="300"/>
      </w:pPr>
      <w:r>
        <w:t xml:space="preserve">Layered in as the Recharge Pro diagnostic surfaces specific needs. Each operator sets their own rate. Customer engages directly or through Recharge Pro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Engagement</w:t>
            </w:r>
          </w:p>
        </w:tc>
        <w:tc>
          <w:tcPr>
            <w:tcW w:type="dxa" w:w="234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Operator</w:t>
            </w:r>
          </w:p>
        </w:tc>
        <w:tc>
          <w:tcPr>
            <w:tcW w:type="dxa" w:w="234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Range</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Mindset readiness / leadership workshops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Justin Azbill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$15K-$25K per day</w:t>
            </w:r>
          </w:p>
        </w:tc>
      </w:tr>
      <w:tr>
        <w:tc>
          <w:tcPr>
            <w:tcW w:type="dxa" w:w="468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Trauma-informed HR audit</w:t>
            </w:r>
          </w:p>
        </w:tc>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Stephanie Lemek</w:t>
            </w:r>
          </w:p>
        </w:tc>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$35K-$55K scoped</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Proactive Conversations workshop series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Belma McCaffrey + Jess Belsky</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$20K-$35K per cohort</w:t>
            </w:r>
          </w:p>
        </w:tc>
      </w:tr>
      <w:tr>
        <w:tc>
          <w:tcPr>
            <w:tcW w:type="dxa" w:w="468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Bilingual safety system audit</w:t>
            </w:r>
          </w:p>
        </w:tc>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Monique Lewis</w:t>
            </w:r>
          </w:p>
        </w:tc>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$15K-$30K scoped</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Confyde peer support platform deployment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Pete Smith</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Per Confyde pricing</w:t>
            </w:r>
          </w:p>
        </w:tc>
      </w:tr>
      <w:tr>
        <w:tc>
          <w:tcPr>
            <w:tcW w:type="dxa" w:w="468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Empower Work workforce text line</w:t>
            </w:r>
          </w:p>
        </w:tc>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Jaime-Alexis Fowler</w:t>
            </w:r>
          </w:p>
        </w:tc>
        <w:tc>
          <w:tcPr>
            <w:tcW w:type="dxa" w:w="234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tcPr>
          <w:p>
            <w:pPr>
              <w:spacing w:after="40"/>
            </w:pPr>
            <w:r>
              <w:rPr>
                <w:b w:val="false"/>
                <w:bCs w:val="false"/>
                <w:color w:val="1A1A1A"/>
              </w:rPr>
              <w:t xml:space="preserve">Free (nonprofit)</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Vimocity movement science deployment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Kevin Rindal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Per Vimocity pricing</w:t>
            </w:r>
          </w:p>
        </w:tc>
      </w:tr>
    </w:tbl>
    <w:p>
      <w:pPr>
        <w:spacing w:after="80"/>
      </w:pPr>
      <w:r>
        <w:t xml:space="preserve"/>
      </w:r>
    </w:p>
    <w:p>
      <w:pPr>
        <w:spacing w:after="160" w:line="300"/>
      </w:pPr>
      <w:r>
        <w:t xml:space="preserve">Estimated ranges are pending operator confirmation at time of scoping. The Empower Work peer counselor text line is free and included in every deployment because Empower Work is a nonprofit.</w:t>
      </w:r>
    </w:p>
    <w:p>
      <w:r>
        <w:br w:type="page"/>
      </w:r>
    </w:p>
    <w:p>
      <w:pPr>
        <w:pStyle w:val="Heading2"/>
        <w:spacing w:after="160" w:before="280"/>
      </w:pPr>
      <w:r>
        <w:t xml:space="preserve">6.2 What This Costs in Practice: Deployment Scenarios</w:t>
      </w:r>
    </w:p>
    <w:p>
      <w:pPr>
        <w:spacing w:after="160" w:line="300"/>
      </w:pPr>
      <w:r>
        <w:t xml:space="preserve">Four illustrative scenarios show what a real deployment looks like. The hyperscale scenario maps directly to WI12.</w:t>
      </w:r>
    </w:p>
    <w:p>
      <w:pPr>
        <w:pStyle w:val="Heading3"/>
        <w:spacing w:after="120" w:before="200"/>
      </w:pPr>
      <w:r>
        <w:t xml:space="preserve">Scenario A: Mid-Market GC, Single Project, ~600 Workers</w:t>
      </w:r>
    </w:p>
    <w:p>
      <w:pPr>
        <w:spacing w:after="160" w:line="300"/>
      </w:pPr>
      <w:r>
        <w:t xml:space="preserve">1 Recharge Room + 2 Recharge Booths + Mid Implementation + Integrated tier subscription.</w:t>
      </w:r>
    </w:p>
    <w:p>
      <w:pPr>
        <w:pStyle w:val="ListParagraph"/>
        <w:numPr>
          <w:ilvl w:val="0"/>
          <w:numId w:val="2"/>
        </w:numPr>
        <w:spacing w:after="80" w:line="280"/>
      </w:pPr>
      <w:r>
        <w:t xml:space="preserve">Equipment: $50,000 (Room) + $60,000 (2 Booths) = $110,000</w:t>
      </w:r>
    </w:p>
    <w:p>
      <w:pPr>
        <w:pStyle w:val="ListParagraph"/>
        <w:numPr>
          <w:ilvl w:val="0"/>
          <w:numId w:val="2"/>
        </w:numPr>
        <w:spacing w:after="80" w:line="280"/>
      </w:pPr>
      <w:r>
        <w:t xml:space="preserve">Implementation: $75,000</w:t>
      </w:r>
    </w:p>
    <w:p>
      <w:pPr>
        <w:pStyle w:val="ListParagraph"/>
        <w:numPr>
          <w:ilvl w:val="0"/>
          <w:numId w:val="2"/>
        </w:numPr>
        <w:spacing w:after="80" w:line="280"/>
      </w:pPr>
      <w:r>
        <w:t xml:space="preserve">Integrated subscription: $14,000/month × 12 = $168,000</w:t>
      </w:r>
    </w:p>
    <w:p>
      <w:pPr>
        <w:pStyle w:val="ListParagraph"/>
        <w:numPr>
          <w:ilvl w:val="0"/>
          <w:numId w:val="2"/>
        </w:numPr>
        <w:spacing w:after="80" w:line="280"/>
      </w:pPr>
      <w:r>
        <w:t xml:space="preserve">Year-one total: $353,000</w:t>
      </w:r>
    </w:p>
    <w:p>
      <w:pPr>
        <w:pStyle w:val="ListParagraph"/>
        <w:numPr>
          <w:ilvl w:val="0"/>
          <w:numId w:val="2"/>
        </w:numPr>
        <w:spacing w:after="80" w:line="280"/>
      </w:pPr>
      <w:r>
        <w:t xml:space="preserve">Year-two ongoing: $168,000 (subscription only)</w:t>
      </w:r>
    </w:p>
    <w:p>
      <w:pPr>
        <w:pStyle w:val="ListParagraph"/>
        <w:numPr>
          <w:ilvl w:val="0"/>
          <w:numId w:val="2"/>
        </w:numPr>
        <w:spacing w:after="80" w:line="280"/>
      </w:pPr>
      <w:r>
        <w:t xml:space="preserve">Per-worker Year One: approximately $588</w:t>
      </w:r>
    </w:p>
    <w:p>
      <w:pPr>
        <w:pStyle w:val="ListParagraph"/>
        <w:numPr>
          <w:ilvl w:val="0"/>
          <w:numId w:val="2"/>
        </w:numPr>
        <w:spacing w:after="80" w:line="280"/>
      </w:pPr>
      <w:r>
        <w:t xml:space="preserve">Per-worker Year Two ongoing: approximately $280, or $23/worker/month</w:t>
      </w:r>
    </w:p>
    <w:p>
      <w:pPr>
        <w:pStyle w:val="Heading3"/>
        <w:spacing w:after="120" w:before="200"/>
      </w:pPr>
      <w:r>
        <w:t xml:space="preserve">Scenario B: Hyperscale Single Project, ~2,000 Workers (the WI12 Shape)</w:t>
      </w:r>
    </w:p>
    <w:p>
      <w:pPr>
        <w:spacing w:after="160" w:line="300"/>
      </w:pPr>
      <w:r>
        <w:t xml:space="preserve">1 Recharge Room + 4 Recharge Booths + Hyperscale Implementation + Full-Service tier subscription.</w:t>
      </w:r>
    </w:p>
    <w:p>
      <w:pPr>
        <w:pStyle w:val="ListParagraph"/>
        <w:numPr>
          <w:ilvl w:val="0"/>
          <w:numId w:val="2"/>
        </w:numPr>
        <w:spacing w:after="80" w:line="280"/>
      </w:pPr>
      <w:r>
        <w:t xml:space="preserve">Equipment: $50,000 (Room) + $120,000 (4 Booths) = $170,000</w:t>
      </w:r>
    </w:p>
    <w:p>
      <w:pPr>
        <w:pStyle w:val="ListParagraph"/>
        <w:numPr>
          <w:ilvl w:val="0"/>
          <w:numId w:val="2"/>
        </w:numPr>
        <w:spacing w:after="80" w:line="280"/>
      </w:pPr>
      <w:r>
        <w:t xml:space="preserve">Implementation: $125,000</w:t>
      </w:r>
    </w:p>
    <w:p>
      <w:pPr>
        <w:pStyle w:val="ListParagraph"/>
        <w:numPr>
          <w:ilvl w:val="0"/>
          <w:numId w:val="2"/>
        </w:numPr>
        <w:spacing w:after="80" w:line="280"/>
      </w:pPr>
      <w:r>
        <w:t xml:space="preserve">Full-Service subscription: $24,000/month × 12 = $288,000</w:t>
      </w:r>
    </w:p>
    <w:p>
      <w:pPr>
        <w:pStyle w:val="ListParagraph"/>
        <w:numPr>
          <w:ilvl w:val="0"/>
          <w:numId w:val="2"/>
        </w:numPr>
        <w:spacing w:after="80" w:line="280"/>
      </w:pPr>
      <w:r>
        <w:t xml:space="preserve">Year-one total: $583,000 (before Dream Team engagements)</w:t>
      </w:r>
    </w:p>
    <w:p>
      <w:pPr>
        <w:pStyle w:val="ListParagraph"/>
        <w:numPr>
          <w:ilvl w:val="0"/>
          <w:numId w:val="2"/>
        </w:numPr>
        <w:spacing w:after="80" w:line="280"/>
      </w:pPr>
      <w:r>
        <w:t xml:space="preserve">Year-two ongoing: $288,000 (subscription only)</w:t>
      </w:r>
    </w:p>
    <w:p>
      <w:pPr>
        <w:pStyle w:val="ListParagraph"/>
        <w:numPr>
          <w:ilvl w:val="0"/>
          <w:numId w:val="2"/>
        </w:numPr>
        <w:spacing w:after="80" w:line="280"/>
      </w:pPr>
      <w:r>
        <w:t xml:space="preserve">Per-worker Year One: approximately $292</w:t>
      </w:r>
    </w:p>
    <w:p>
      <w:pPr>
        <w:pStyle w:val="ListParagraph"/>
        <w:numPr>
          <w:ilvl w:val="0"/>
          <w:numId w:val="2"/>
        </w:numPr>
        <w:spacing w:after="80" w:line="280"/>
      </w:pPr>
      <w:r>
        <w:t xml:space="preserve">Per-worker Year Two ongoing: approximately $144, or $12/worker/month</w:t>
      </w:r>
    </w:p>
    <w:p>
      <w:pPr>
        <w:spacing w:after="160" w:line="300"/>
      </w:pPr>
      <w:r>
        <w:t xml:space="preserve">Dream Team engagements added at WI12 might typically include: a Mission Mindset two-day leadership workshop ($30K-$50K), a Proactive Conversations cohort for foremen ($20K-$35K), and a Stephanie Lemek trauma-informed HR audit ($35K-$55K) in Year One. That layers an additional $85K-$140K on top of the $583K base, bringing the realistic Year One total for a fully-loaded hyperscale deployment to approximately $700K-$725K.</w:t>
      </w:r>
    </w:p>
    <w:p>
      <w:pPr>
        <w:pStyle w:val="Heading3"/>
        <w:spacing w:after="120" w:before="200"/>
      </w:pPr>
      <w:r>
        <w:t xml:space="preserve">Scenario C: Enterprise Hyperscale, 3 Projects</w:t>
      </w:r>
    </w:p>
    <w:p>
      <w:pPr>
        <w:spacing w:after="160" w:line="300"/>
      </w:pPr>
      <w:r>
        <w:t xml:space="preserve">3 Recharge Rooms + 9 Recharge Booths + Enterprise tier subscription across 3 projects.</w:t>
      </w:r>
    </w:p>
    <w:p>
      <w:pPr>
        <w:pStyle w:val="ListParagraph"/>
        <w:numPr>
          <w:ilvl w:val="0"/>
          <w:numId w:val="2"/>
        </w:numPr>
        <w:spacing w:after="80" w:line="280"/>
      </w:pPr>
      <w:r>
        <w:t xml:space="preserve">Equipment: $150,000 (3 Rooms) + $270,000 (9 Booths) = $420,000</w:t>
      </w:r>
    </w:p>
    <w:p>
      <w:pPr>
        <w:pStyle w:val="ListParagraph"/>
        <w:numPr>
          <w:ilvl w:val="0"/>
          <w:numId w:val="2"/>
        </w:numPr>
        <w:spacing w:after="80" w:line="280"/>
      </w:pPr>
      <w:r>
        <w:t xml:space="preserve">Implementation: $125,000 × 3 = $375,000</w:t>
      </w:r>
    </w:p>
    <w:p>
      <w:pPr>
        <w:pStyle w:val="ListParagraph"/>
        <w:numPr>
          <w:ilvl w:val="0"/>
          <w:numId w:val="2"/>
        </w:numPr>
        <w:spacing w:after="80" w:line="280"/>
      </w:pPr>
      <w:r>
        <w:t xml:space="preserve">Enterprise subscription: $36,000/month × 12 × 3 = $1,296,000</w:t>
      </w:r>
    </w:p>
    <w:p>
      <w:pPr>
        <w:pStyle w:val="ListParagraph"/>
        <w:numPr>
          <w:ilvl w:val="0"/>
          <w:numId w:val="2"/>
        </w:numPr>
        <w:spacing w:after="80" w:line="280"/>
      </w:pPr>
      <w:r>
        <w:t xml:space="preserve">Year-one total: $2,091,000</w:t>
      </w:r>
    </w:p>
    <w:p>
      <w:pPr>
        <w:pStyle w:val="ListParagraph"/>
        <w:numPr>
          <w:ilvl w:val="0"/>
          <w:numId w:val="2"/>
        </w:numPr>
        <w:spacing w:after="80" w:line="280"/>
      </w:pPr>
      <w:r>
        <w:t xml:space="preserve">Year-two ongoing: $1,296,000 (subscription only)</w:t>
      </w:r>
    </w:p>
    <w:p>
      <w:pPr>
        <w:pStyle w:val="Heading3"/>
        <w:spacing w:after="120" w:before="200"/>
      </w:pPr>
      <w:r>
        <w:t xml:space="preserve">Scenario D: Founding Pilot Partner</w:t>
      </w:r>
    </w:p>
    <w:p>
      <w:pPr>
        <w:spacing w:after="160" w:line="300"/>
      </w:pPr>
      <w:r>
        <w:t xml:space="preserve">Same pricing as Hyperscale Single Project ($583K Year One baseline). Founding pilots do not receive a price discount. They do receive permanent recognition as founding partners, year-one Family Retreat priority access, and shaping rights on the Recharge Pro Stack methodology going forward. The first three to five hyperscale GCs that commit early get founding cohort status.</w:t>
      </w:r>
    </w:p>
    <w:p>
      <w:r>
        <w:br w:type="page"/>
      </w:r>
    </w:p>
    <w:p>
      <w:pPr>
        <w:pStyle w:val="Heading2"/>
        <w:spacing w:after="160" w:before="280"/>
      </w:pPr>
      <w:r>
        <w:t xml:space="preserve">6.3 The Return: ROI Framework</w:t>
      </w:r>
    </w:p>
    <w:p>
      <w:pPr>
        <w:spacing w:after="160" w:line="300"/>
      </w:pPr>
      <w:r>
        <w:t xml:space="preserve">Recharge Pro maintains a prospect-specific ROI calculator at rechargeproconstructionroicalc.netlify.app. The illustrative numbers below frame the order of magnitude. Project-specific numbers should be modeled using the calculator with Weitz's actual workforce data, workers' comp baseline, and turnover rates.</w:t>
      </w:r>
    </w:p>
    <w:p>
      <w:pPr>
        <w:pStyle w:val="Heading3"/>
        <w:spacing w:after="120" w:before="200"/>
      </w:pPr>
      <w:r>
        <w:t xml:space="preserve">The Per-Worker Cost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Tier (per worker)</w:t>
            </w:r>
          </w:p>
        </w:tc>
        <w:tc>
          <w:tcPr>
            <w:tcW w:type="dxa" w:w="208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Y1 All-In</w:t>
            </w:r>
          </w:p>
        </w:tc>
        <w:tc>
          <w:tcPr>
            <w:tcW w:type="dxa" w:w="208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Y2 Ongoing</w:t>
            </w:r>
          </w:p>
        </w:tc>
        <w:tc>
          <w:tcPr>
            <w:tcW w:type="dxa" w:w="2080"/>
            <w:tcBorders>
              <w:top w:val="single" w:color="CCCCCC" w:sz="4"/>
              <w:left w:val="single" w:color="CCCCCC" w:sz="4"/>
              <w:bottom w:val="single" w:color="CCCCCC" w:sz="4"/>
              <w:right w:val="single" w:color="CCCCCC" w:sz="4"/>
            </w:tcBorders>
            <w:shd w:fill="6CC04A" w:val="clear"/>
            <w:tcMar>
              <w:top w:type="dxa" w:w="100"/>
              <w:left w:type="dxa" w:w="140"/>
              <w:bottom w:type="dxa" w:w="100"/>
              <w:right w:type="dxa" w:w="140"/>
            </w:tcMar>
          </w:tcPr>
          <w:p>
            <w:pPr>
              <w:spacing w:after="0"/>
            </w:pPr>
            <w:r>
              <w:rPr>
                <w:b/>
                <w:bCs/>
                <w:color w:val="FFFFFF"/>
              </w:rPr>
              <w:t xml:space="preserve">Y2/Month</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Integrated, 600 workers</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$588</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$280</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$23</w:t>
            </w:r>
          </w:p>
        </w:tc>
      </w:tr>
      <w:tr>
        <w:tc>
          <w:tcPr>
            <w:tcW w:type="dxa" w:w="3120"/>
            <w:tcBorders>
              <w:top w:val="single" w:color="CCCCCC" w:sz="4"/>
              <w:left w:val="single" w:color="CCCCCC" w:sz="4"/>
              <w:bottom w:val="single" w:color="CCCCCC" w:sz="4"/>
              <w:right w:val="single" w:color="CCCCCC" w:sz="4"/>
            </w:tcBorders>
            <w:shd w:fill="EAF6E0" w:val="clear"/>
            <w:tcMar>
              <w:top w:type="dxa" w:w="100"/>
              <w:left w:type="dxa" w:w="140"/>
              <w:bottom w:type="dxa" w:w="100"/>
              <w:right w:type="dxa" w:w="140"/>
            </w:tcMar>
          </w:tcPr>
          <w:p>
            <w:pPr>
              <w:spacing w:after="40"/>
            </w:pPr>
            <w:r>
              <w:rPr>
                <w:b w:val="false"/>
                <w:bCs w:val="false"/>
                <w:color w:val="1A1A1A"/>
              </w:rPr>
              <w:t xml:space="preserve">Full-Service, 2,000 workers</w:t>
            </w:r>
          </w:p>
        </w:tc>
        <w:tc>
          <w:tcPr>
            <w:tcW w:type="dxa" w:w="2080"/>
            <w:tcBorders>
              <w:top w:val="single" w:color="CCCCCC" w:sz="4"/>
              <w:left w:val="single" w:color="CCCCCC" w:sz="4"/>
              <w:bottom w:val="single" w:color="CCCCCC" w:sz="4"/>
              <w:right w:val="single" w:color="CCCCCC" w:sz="4"/>
            </w:tcBorders>
            <w:shd w:fill="EAF6E0" w:val="clear"/>
            <w:tcMar>
              <w:top w:type="dxa" w:w="100"/>
              <w:left w:type="dxa" w:w="140"/>
              <w:bottom w:type="dxa" w:w="100"/>
              <w:right w:type="dxa" w:w="140"/>
            </w:tcMar>
          </w:tcPr>
          <w:p>
            <w:pPr>
              <w:spacing w:after="40"/>
            </w:pPr>
            <w:r>
              <w:rPr>
                <w:b w:val="false"/>
                <w:bCs w:val="false"/>
                <w:color w:val="1A1A1A"/>
              </w:rPr>
              <w:t xml:space="preserve">$292</w:t>
            </w:r>
          </w:p>
        </w:tc>
        <w:tc>
          <w:tcPr>
            <w:tcW w:type="dxa" w:w="2080"/>
            <w:tcBorders>
              <w:top w:val="single" w:color="CCCCCC" w:sz="4"/>
              <w:left w:val="single" w:color="CCCCCC" w:sz="4"/>
              <w:bottom w:val="single" w:color="CCCCCC" w:sz="4"/>
              <w:right w:val="single" w:color="CCCCCC" w:sz="4"/>
            </w:tcBorders>
            <w:shd w:fill="EAF6E0" w:val="clear"/>
            <w:tcMar>
              <w:top w:type="dxa" w:w="100"/>
              <w:left w:type="dxa" w:w="140"/>
              <w:bottom w:type="dxa" w:w="100"/>
              <w:right w:type="dxa" w:w="140"/>
            </w:tcMar>
          </w:tcPr>
          <w:p>
            <w:pPr>
              <w:spacing w:after="40"/>
            </w:pPr>
            <w:r>
              <w:rPr>
                <w:b w:val="false"/>
                <w:bCs w:val="false"/>
                <w:color w:val="1A1A1A"/>
              </w:rPr>
              <w:t xml:space="preserve">$144</w:t>
            </w:r>
          </w:p>
        </w:tc>
        <w:tc>
          <w:tcPr>
            <w:tcW w:type="dxa" w:w="2080"/>
            <w:tcBorders>
              <w:top w:val="single" w:color="CCCCCC" w:sz="4"/>
              <w:left w:val="single" w:color="CCCCCC" w:sz="4"/>
              <w:bottom w:val="single" w:color="CCCCCC" w:sz="4"/>
              <w:right w:val="single" w:color="CCCCCC" w:sz="4"/>
            </w:tcBorders>
            <w:shd w:fill="EAF6E0" w:val="clear"/>
            <w:tcMar>
              <w:top w:type="dxa" w:w="100"/>
              <w:left w:type="dxa" w:w="140"/>
              <w:bottom w:type="dxa" w:w="100"/>
              <w:right w:type="dxa" w:w="140"/>
            </w:tcMar>
          </w:tcPr>
          <w:p>
            <w:pPr>
              <w:spacing w:after="40"/>
            </w:pPr>
            <w:r>
              <w:rPr>
                <w:b w:val="false"/>
                <w:bCs w:val="false"/>
                <w:color w:val="1A1A1A"/>
              </w:rPr>
              <w:t xml:space="preserve">$12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Enterprise, 6,000 workers (3 projects)</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$349</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$216</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color w:val="1A1A1A"/>
              </w:rPr>
              <w:t xml:space="preserve">$18</w:t>
            </w:r>
          </w:p>
        </w:tc>
      </w:tr>
    </w:tbl>
    <w:p>
      <w:pPr>
        <w:spacing w:after="80"/>
      </w:pPr>
      <w:r>
        <w:t xml:space="preserve"/>
      </w:r>
    </w:p>
    <w:p>
      <w:pPr>
        <w:pStyle w:val="Heading3"/>
        <w:spacing w:after="120" w:before="200"/>
      </w:pPr>
      <w:r>
        <w:t xml:space="preserve">The Pitch Line</w:t>
      </w:r>
    </w:p>
    <w:p>
      <w:pPr>
        <w:pBdr>
          <w:left w:val="single" w:color="6CC04A" w:sz="24" w:space="12"/>
        </w:pBdr>
        <w:spacing w:after="200" w:before="160" w:line="300"/>
        <w:ind w:left="480"/>
      </w:pPr>
      <w:r>
        <w:rPr>
          <w:i/>
          <w:iCs/>
          <w:color w:val="4C4C4C"/>
        </w:rPr>
        <w:t xml:space="preserve">For approximately $12 per worker per month on an ongoing basis, a hyperscale GC gets the integrated wellness stack that addresses the actual drivers of workers' comp cost, turnover, and schedule risk.</w:t>
      </w:r>
    </w:p>
    <w:p>
      <w:pPr>
        <w:pStyle w:val="Heading3"/>
        <w:spacing w:after="120" w:before="200"/>
      </w:pPr>
      <w:r>
        <w:t xml:space="preserve">What That Has to Beat: The Cost of Inaction</w:t>
      </w:r>
    </w:p>
    <w:p>
      <w:pPr>
        <w:spacing w:after="160" w:line="300"/>
      </w:pPr>
      <w:r>
        <w:t xml:space="preserve">The Recharge Pro investment justifies itself if it moves any of the following in measurable ways. Each line is sourced from industry-published benchmarks. Weitz-specific numbers should be substituted using the ROI calculator.</w:t>
      </w:r>
    </w:p>
    <w:p>
      <w:pPr>
        <w:pStyle w:val="ListParagraph"/>
        <w:numPr>
          <w:ilvl w:val="0"/>
          <w:numId w:val="2"/>
        </w:numPr>
        <w:spacing w:after="80" w:line="280"/>
      </w:pPr>
      <w:r>
        <w:rPr>
          <w:b/>
          <w:bCs/>
        </w:rPr>
        <w:t xml:space="preserve">Workers' compensation reduction. </w:t>
      </w:r>
      <w:r>
        <w:t xml:space="preserve">Construction workers' comp costs vary widely by trade and market. Industry-published benchmarks suggest MSD-related claims alone often range from $1,500 to $5,000 per worker per year in fully-loaded costs across heavy construction. A 10% reduction in MSD claim incidence at $3,000 per worker baseline on a 2,000-worker project recovers $600,000 per year, which by itself exceeds the Full-Service subscription cost.</w:t>
      </w:r>
    </w:p>
    <w:p>
      <w:pPr>
        <w:pStyle w:val="ListParagraph"/>
        <w:numPr>
          <w:ilvl w:val="0"/>
          <w:numId w:val="2"/>
        </w:numPr>
        <w:spacing w:after="80" w:line="280"/>
      </w:pPr>
      <w:r>
        <w:rPr>
          <w:b/>
          <w:bCs/>
        </w:rPr>
        <w:t xml:space="preserve">Turnover reduction. </w:t>
      </w:r>
      <w:r>
        <w:t xml:space="preserve">Industry replacement cost per skilled construction worker is commonly estimated at $15,000 to $30,000 fully loaded (recruiting, onboarding, productivity ramp). On a 2,000-worker project with 30% baseline annual turnover, a 5% reduction in turnover (from 30% to 25%) at $20,000 per replacement saves $2,000,000 per year, which is 7x the Full-Service subscription cost.</w:t>
      </w:r>
    </w:p>
    <w:p>
      <w:pPr>
        <w:pStyle w:val="ListParagraph"/>
        <w:numPr>
          <w:ilvl w:val="0"/>
          <w:numId w:val="2"/>
        </w:numPr>
        <w:spacing w:after="80" w:line="280"/>
      </w:pPr>
      <w:r>
        <w:rPr>
          <w:b/>
          <w:bCs/>
        </w:rPr>
        <w:t xml:space="preserve">Schedule certainty. </w:t>
      </w:r>
      <w:r>
        <w:t xml:space="preserve">On hyperscale and mission-critical projects with liquidated damages, a single avoided week of schedule slippage from a major incident or workforce disruption can recover the entire annual program cost. The ROI math on mission-critical work is typically less about per-worker math and more about avoided catastrophic events.</w:t>
      </w:r>
    </w:p>
    <w:p>
      <w:pPr>
        <w:pStyle w:val="ListParagraph"/>
        <w:numPr>
          <w:ilvl w:val="0"/>
          <w:numId w:val="2"/>
        </w:numPr>
        <w:spacing w:after="80" w:line="280"/>
      </w:pPr>
      <w:r>
        <w:rPr>
          <w:b/>
          <w:bCs/>
        </w:rPr>
        <w:t xml:space="preserve">Workers' compensation experience modification. </w:t>
      </w:r>
      <w:r>
        <w:t xml:space="preserve">EMR improvements compound across the entire enterprise's project portfolio. A measurable reduction in claim severity and frequency at one or two pilot sites can produce EMR improvements that lower insurance costs across all current and future projects, with multi-year financial impact that substantially exceeds the program cost.</w:t>
      </w:r>
    </w:p>
    <w:p>
      <w:pPr>
        <w:pStyle w:val="ListParagraph"/>
        <w:numPr>
          <w:ilvl w:val="0"/>
          <w:numId w:val="2"/>
        </w:numPr>
        <w:spacing w:after="80" w:line="280"/>
      </w:pPr>
      <w:r>
        <w:rPr>
          <w:b/>
          <w:bCs/>
        </w:rPr>
        <w:t xml:space="preserve">Owner relationship and bid differentiation. </w:t>
      </w:r>
      <w:r>
        <w:t xml:space="preserve">Major owners (hyperscale tech, federal infrastructure, healthcare systems) increasingly evaluate GC selection on workforce wellness metrics alongside safety performance. Being able to point to deployed, measured, partner-aggregated workforce wellness infrastructure is itself a competitive differentiator on the next bid.</w:t>
      </w:r>
    </w:p>
    <w:p>
      <w:pPr>
        <w:pStyle w:val="Heading3"/>
        <w:spacing w:after="120" w:before="200"/>
      </w:pPr>
      <w:r>
        <w:t xml:space="preserve">Project-Specific ROI</w:t>
      </w:r>
    </w:p>
    <w:p>
      <w:pPr>
        <w:spacing w:after="160" w:line="300"/>
      </w:pPr>
      <w:r>
        <w:t xml:space="preserve">The figures above are illustrative. The Recharge Pro ROI calculator at rechargeproconstructionroicalc.netlify.app allows the Weitz finance team to model the project- and portfolio-specific ROI using actual workforce numbers, workers' compensation baseline, and turnover rates. This is the recommended next step before any procurement decision.</w:t>
      </w:r>
    </w:p>
    <w:p>
      <w:r>
        <w:br w:type="page"/>
      </w:r>
    </w:p>
    <w:p>
      <w:pPr>
        <w:pStyle w:val="Heading1"/>
        <w:spacing w:after="200" w:before="360"/>
      </w:pPr>
      <w:r>
        <w:t xml:space="preserve">7. Deployment for The Weitz Company</w:t>
      </w:r>
    </w:p>
    <w:p>
      <w:pPr>
        <w:spacing w:after="160" w:line="300"/>
      </w:pPr>
      <w:r>
        <w:t xml:space="preserve">This section translates the architecture into operational reality for Weitz.</w:t>
      </w:r>
    </w:p>
    <w:p>
      <w:pPr>
        <w:pStyle w:val="Heading2"/>
        <w:spacing w:after="160" w:before="280"/>
      </w:pPr>
      <w:r>
        <w:t xml:space="preserve">7.1 Recommended Configuration for WI12</w:t>
      </w:r>
    </w:p>
    <w:p>
      <w:pPr>
        <w:spacing w:after="160" w:line="300"/>
      </w:pPr>
      <w:r>
        <w:t xml:space="preserve">WI12 (the hyperscale data center build for Vantage with Oracle and OpenAI as end clients, in Port Washington, Wisconsin) is the largest project in Weitz history and runs at the scale where the Full-Service tier produces the strongest return.</w:t>
      </w:r>
    </w:p>
    <w:p>
      <w:pPr>
        <w:spacing w:after="160" w:line="300"/>
      </w:pPr>
      <w:r>
        <w:t xml:space="preserve">Recommended Year One configuration:</w:t>
      </w:r>
    </w:p>
    <w:p>
      <w:pPr>
        <w:pStyle w:val="ListParagraph"/>
        <w:numPr>
          <w:ilvl w:val="0"/>
          <w:numId w:val="2"/>
        </w:numPr>
        <w:spacing w:after="80" w:line="280"/>
      </w:pPr>
      <w:r>
        <w:t xml:space="preserve">1 Recharge Room: $50,000</w:t>
      </w:r>
    </w:p>
    <w:p>
      <w:pPr>
        <w:pStyle w:val="ListParagraph"/>
        <w:numPr>
          <w:ilvl w:val="0"/>
          <w:numId w:val="2"/>
        </w:numPr>
        <w:spacing w:after="80" w:line="280"/>
      </w:pPr>
      <w:r>
        <w:t xml:space="preserve">4 Recharge Booths (placed at trailers serving major work zones): $120,000</w:t>
      </w:r>
    </w:p>
    <w:p>
      <w:pPr>
        <w:pStyle w:val="ListParagraph"/>
        <w:numPr>
          <w:ilvl w:val="0"/>
          <w:numId w:val="2"/>
        </w:numPr>
        <w:spacing w:after="80" w:line="280"/>
      </w:pPr>
      <w:r>
        <w:t xml:space="preserve">Hyperscale Implementation: $125,000</w:t>
      </w:r>
    </w:p>
    <w:p>
      <w:pPr>
        <w:pStyle w:val="ListParagraph"/>
        <w:numPr>
          <w:ilvl w:val="0"/>
          <w:numId w:val="2"/>
        </w:numPr>
        <w:spacing w:after="80" w:line="280"/>
      </w:pPr>
      <w:r>
        <w:t xml:space="preserve">Full-Service tier subscription: $288,000 annualized</w:t>
      </w:r>
    </w:p>
    <w:p>
      <w:pPr>
        <w:pStyle w:val="ListParagraph"/>
        <w:numPr>
          <w:ilvl w:val="0"/>
          <w:numId w:val="2"/>
        </w:numPr>
        <w:spacing w:after="80" w:line="280"/>
      </w:pPr>
      <w:r>
        <w:t xml:space="preserve">Year One baseline: $583,000</w:t>
      </w:r>
    </w:p>
    <w:p>
      <w:pPr>
        <w:spacing w:after="160" w:line="300"/>
      </w:pPr>
      <w:r>
        <w:t xml:space="preserve">Recommended Dream Team additions in Year One based on the typical hyperscale diagnostic:</w:t>
      </w:r>
    </w:p>
    <w:p>
      <w:pPr>
        <w:pStyle w:val="ListParagraph"/>
        <w:numPr>
          <w:ilvl w:val="0"/>
          <w:numId w:val="2"/>
        </w:numPr>
        <w:spacing w:after="80" w:line="280"/>
      </w:pPr>
      <w:r>
        <w:t xml:space="preserve">Mission Mindset two-day leadership workshop for the WI12 leadership team and trade partner principals (Justin Azbill): $30K-$50K</w:t>
      </w:r>
    </w:p>
    <w:p>
      <w:pPr>
        <w:pStyle w:val="ListParagraph"/>
        <w:numPr>
          <w:ilvl w:val="0"/>
          <w:numId w:val="2"/>
        </w:numPr>
        <w:spacing w:after="80" w:line="280"/>
      </w:pPr>
      <w:r>
        <w:t xml:space="preserve">Proactive Conversations cohort for the foreman and superintendent layer (Belma McCaffrey and Jess Belsky): $20K-$35K</w:t>
      </w:r>
    </w:p>
    <w:p>
      <w:pPr>
        <w:pStyle w:val="ListParagraph"/>
        <w:numPr>
          <w:ilvl w:val="0"/>
          <w:numId w:val="2"/>
        </w:numPr>
        <w:spacing w:after="80" w:line="280"/>
      </w:pPr>
      <w:r>
        <w:t xml:space="preserve">Stephanie Lemek trauma-informed HR audit and policy work: $35K-$55K</w:t>
      </w:r>
    </w:p>
    <w:p>
      <w:pPr>
        <w:spacing w:after="160" w:line="300"/>
      </w:pPr>
      <w:r>
        <w:t xml:space="preserve">Realistic Year One fully-loaded range for WI12: approximately $700K-$725K. Year Two ongoing: $288K subscription only, plus any Year Two Dream Team engagements identified through the ongoing diagnostic.</w:t>
      </w:r>
    </w:p>
    <w:p>
      <w:pPr>
        <w:pStyle w:val="Heading2"/>
        <w:spacing w:after="160" w:before="280"/>
      </w:pPr>
      <w:r>
        <w:t xml:space="preserve">7.2 Deployment Timeline</w:t>
      </w:r>
    </w:p>
    <w:p>
      <w:pPr>
        <w:spacing w:after="160" w:line="300"/>
      </w:pPr>
      <w:r>
        <w:t xml:space="preserve">Standard Hyperscale deployment runs on the following timeline from contract signing to full operation:</w:t>
      </w:r>
    </w:p>
    <w:p>
      <w:pPr>
        <w:pStyle w:val="ListParagraph"/>
        <w:numPr>
          <w:ilvl w:val="0"/>
          <w:numId w:val="2"/>
        </w:numPr>
        <w:spacing w:after="80" w:line="280"/>
      </w:pPr>
      <w:r>
        <w:rPr>
          <w:b/>
          <w:bCs/>
        </w:rPr>
        <w:t xml:space="preserve">Weeks 1-2: </w:t>
      </w:r>
      <w:r>
        <w:t xml:space="preserve">Site survey, infrastructure planning, executive briefing for Weitz and Vantage owner team, baseline diagnostic.</w:t>
      </w:r>
    </w:p>
    <w:p>
      <w:pPr>
        <w:pStyle w:val="ListParagraph"/>
        <w:numPr>
          <w:ilvl w:val="0"/>
          <w:numId w:val="2"/>
        </w:numPr>
        <w:spacing w:after="80" w:line="280"/>
      </w:pPr>
      <w:r>
        <w:rPr>
          <w:b/>
          <w:bCs/>
        </w:rPr>
        <w:t xml:space="preserve">Weeks 3-6: </w:t>
      </w:r>
      <w:r>
        <w:t xml:space="preserve">Equipment manufacturing and shipping. Champion cohort identification and training preparation. App configuration for WI12 user base.</w:t>
      </w:r>
    </w:p>
    <w:p>
      <w:pPr>
        <w:pStyle w:val="ListParagraph"/>
        <w:numPr>
          <w:ilvl w:val="0"/>
          <w:numId w:val="2"/>
        </w:numPr>
        <w:spacing w:after="80" w:line="280"/>
      </w:pPr>
      <w:r>
        <w:rPr>
          <w:b/>
          <w:bCs/>
        </w:rPr>
        <w:t xml:space="preserve">Weeks 7-8: </w:t>
      </w:r>
      <w:r>
        <w:t xml:space="preserve">Equipment installation. Champion cohort training. Multi-day on-site launch event. Workforce introduction and onboarding.</w:t>
      </w:r>
    </w:p>
    <w:p>
      <w:pPr>
        <w:pStyle w:val="ListParagraph"/>
        <w:numPr>
          <w:ilvl w:val="0"/>
          <w:numId w:val="2"/>
        </w:numPr>
        <w:spacing w:after="80" w:line="280"/>
      </w:pPr>
      <w:r>
        <w:rPr>
          <w:b/>
          <w:bCs/>
        </w:rPr>
        <w:t xml:space="preserve">Weeks 9-12: </w:t>
      </w:r>
      <w:r>
        <w:t xml:space="preserve">Initial usage ramp. First on-site Peer Support Specialist days. Leadership alignment sessions begin. Baseline measurement infrastructure operational.</w:t>
      </w:r>
    </w:p>
    <w:p>
      <w:pPr>
        <w:pStyle w:val="ListParagraph"/>
        <w:numPr>
          <w:ilvl w:val="0"/>
          <w:numId w:val="2"/>
        </w:numPr>
        <w:spacing w:after="80" w:line="280"/>
      </w:pPr>
      <w:r>
        <w:rPr>
          <w:b/>
          <w:bCs/>
        </w:rPr>
        <w:t xml:space="preserve">Month 4 onward: </w:t>
      </w:r>
      <w:r>
        <w:t xml:space="preserve">Steady-state operation. Monthly leadership and foreman sessions. Quarterly impact reports. Dream Team engagements layered in as the diagnostic surfaces needs.</w:t>
      </w:r>
    </w:p>
    <w:p>
      <w:pPr>
        <w:pStyle w:val="Heading2"/>
        <w:spacing w:after="160" w:before="280"/>
      </w:pPr>
      <w:r>
        <w:t xml:space="preserve">7.3 What Changes Operationally</w:t>
      </w:r>
    </w:p>
    <w:p>
      <w:pPr>
        <w:spacing w:after="160" w:line="300"/>
      </w:pPr>
      <w:r>
        <w:t xml:space="preserve">Recharge Pro is designed to integrate into the operational rhythms Weitz already runs. The deployment does not require Weitz to create entirely new systems. It augments existing ones.</w:t>
      </w:r>
    </w:p>
    <w:p>
      <w:pPr>
        <w:pStyle w:val="ListParagraph"/>
        <w:numPr>
          <w:ilvl w:val="0"/>
          <w:numId w:val="2"/>
        </w:numPr>
        <w:spacing w:after="80" w:line="280"/>
      </w:pPr>
      <w:r>
        <w:t xml:space="preserve">Toolbox talks: existing format, Recharge Pro content added to the rotation</w:t>
      </w:r>
    </w:p>
    <w:p>
      <w:pPr>
        <w:pStyle w:val="ListParagraph"/>
        <w:numPr>
          <w:ilvl w:val="0"/>
          <w:numId w:val="2"/>
        </w:numPr>
        <w:spacing w:after="80" w:line="280"/>
      </w:pPr>
      <w:r>
        <w:t xml:space="preserve">Safety stand-downs: existing format, Recharge Pro joins the lineup of speakers and topics</w:t>
      </w:r>
    </w:p>
    <w:p>
      <w:pPr>
        <w:pStyle w:val="ListParagraph"/>
        <w:numPr>
          <w:ilvl w:val="0"/>
          <w:numId w:val="2"/>
        </w:numPr>
        <w:spacing w:after="80" w:line="280"/>
      </w:pPr>
      <w:r>
        <w:t xml:space="preserve">Foreman and superintendent meetings: existing format, monthly Recharge Pro leadership alignment session added</w:t>
      </w:r>
    </w:p>
    <w:p>
      <w:pPr>
        <w:pStyle w:val="ListParagraph"/>
        <w:numPr>
          <w:ilvl w:val="0"/>
          <w:numId w:val="2"/>
        </w:numPr>
        <w:spacing w:after="80" w:line="280"/>
      </w:pPr>
      <w:r>
        <w:t xml:space="preserve">EAP and HR referrals: existing pathways, Recharge Pro provides additional warm-handoff channel</w:t>
      </w:r>
    </w:p>
    <w:p>
      <w:pPr>
        <w:pStyle w:val="ListParagraph"/>
        <w:numPr>
          <w:ilvl w:val="0"/>
          <w:numId w:val="2"/>
        </w:numPr>
        <w:spacing w:after="80" w:line="280"/>
      </w:pPr>
      <w:r>
        <w:t xml:space="preserve">Family communications: new program, opt-in for workers who want family-facing content and Family Retreat nomination</w:t>
      </w:r>
    </w:p>
    <w:p>
      <w:pPr>
        <w:pStyle w:val="Heading2"/>
        <w:spacing w:after="160" w:before="280"/>
      </w:pPr>
      <w:r>
        <w:t xml:space="preserve">7.4 Founding Pilot Partner Status for Weitz</w:t>
      </w:r>
    </w:p>
    <w:p>
      <w:pPr>
        <w:spacing w:after="160" w:line="300"/>
      </w:pPr>
      <w:r>
        <w:t xml:space="preserve">Recharge Pro is selecting three to five hyperscale general contractor founding pilot partners. Weitz is the first conversation. Founding pilot partners pay the same rate as everyone else. They do not receive a price discount. They do receive:</w:t>
      </w:r>
    </w:p>
    <w:p>
      <w:pPr>
        <w:pStyle w:val="ListParagraph"/>
        <w:numPr>
          <w:ilvl w:val="0"/>
          <w:numId w:val="2"/>
        </w:numPr>
        <w:spacing w:after="80" w:line="280"/>
      </w:pPr>
      <w:r>
        <w:t xml:space="preserve">Permanent recognition as a Recharge Pro Founding Partner</w:t>
      </w:r>
    </w:p>
    <w:p>
      <w:pPr>
        <w:pStyle w:val="ListParagraph"/>
        <w:numPr>
          <w:ilvl w:val="0"/>
          <w:numId w:val="2"/>
        </w:numPr>
        <w:spacing w:after="80" w:line="280"/>
      </w:pPr>
      <w:r>
        <w:t xml:space="preserve">Year-one Family Retreat priority access for Weitz workforce families</w:t>
      </w:r>
    </w:p>
    <w:p>
      <w:pPr>
        <w:pStyle w:val="ListParagraph"/>
        <w:numPr>
          <w:ilvl w:val="0"/>
          <w:numId w:val="2"/>
        </w:numPr>
        <w:spacing w:after="80" w:line="280"/>
      </w:pPr>
      <w:r>
        <w:t xml:space="preserve">Shaping rights on the Recharge Pro methodology and stack evolution going forward</w:t>
      </w:r>
    </w:p>
    <w:p>
      <w:pPr>
        <w:pStyle w:val="ListParagraph"/>
        <w:numPr>
          <w:ilvl w:val="0"/>
          <w:numId w:val="2"/>
        </w:numPr>
        <w:spacing w:after="80" w:line="280"/>
      </w:pPr>
      <w:r>
        <w:t xml:space="preserve">Co-authored case study rights (industry-published) reflecting WI12 outcomes</w:t>
      </w:r>
    </w:p>
    <w:p>
      <w:pPr>
        <w:pStyle w:val="ListParagraph"/>
        <w:numPr>
          <w:ilvl w:val="0"/>
          <w:numId w:val="2"/>
        </w:numPr>
        <w:spacing w:after="80" w:line="280"/>
      </w:pPr>
      <w:r>
        <w:t xml:space="preserve">Executive visibility within the construction industry suicide prevention and workforce wellness community as a credible leader on the issue</w:t>
      </w:r>
    </w:p>
    <w:p>
      <w:r>
        <w:br w:type="page"/>
      </w:r>
    </w:p>
    <w:p>
      <w:pPr>
        <w:pStyle w:val="Heading1"/>
        <w:spacing w:after="200" w:before="360"/>
      </w:pPr>
      <w:r>
        <w:t xml:space="preserve">8. Measurement and Proof</w:t>
      </w:r>
    </w:p>
    <w:p>
      <w:pPr>
        <w:spacing w:after="160" w:line="300"/>
      </w:pPr>
      <w:r>
        <w:t xml:space="preserve">A program that cannot fail is a program that cannot be trusted. Recharge Pro's credibility depends on naming what success looks like, measuring it in real time, and being willing to publish results regardless of outcome.</w:t>
      </w:r>
    </w:p>
    <w:p>
      <w:pPr>
        <w:pStyle w:val="Heading2"/>
        <w:spacing w:after="160" w:before="280"/>
      </w:pPr>
      <w:r>
        <w:t xml:space="preserve">8.1 Three-Tier Measurement</w:t>
      </w:r>
    </w:p>
    <w:p>
      <w:pPr>
        <w:pStyle w:val="Heading3"/>
        <w:spacing w:after="120" w:before="200"/>
      </w:pPr>
      <w:r>
        <w:t xml:space="preserve">Tier 1: Leading Indicators (Weekly to Monthly)</w:t>
      </w:r>
    </w:p>
    <w:p>
      <w:pPr>
        <w:spacing w:after="160" w:line="300"/>
      </w:pPr>
      <w:r>
        <w:t xml:space="preserve">Tells us whether the program is reaching workers and producing immediate change.</w:t>
      </w:r>
    </w:p>
    <w:p>
      <w:pPr>
        <w:pStyle w:val="ListParagraph"/>
        <w:numPr>
          <w:ilvl w:val="0"/>
          <w:numId w:val="2"/>
        </w:numPr>
        <w:spacing w:after="80" w:line="280"/>
      </w:pPr>
      <w:r>
        <w:t xml:space="preserve">Utilization rates by intervention (Booth use, Room use, app engagement, partner engagement)</w:t>
      </w:r>
    </w:p>
    <w:p>
      <w:pPr>
        <w:pStyle w:val="ListParagraph"/>
        <w:numPr>
          <w:ilvl w:val="0"/>
          <w:numId w:val="2"/>
        </w:numPr>
        <w:spacing w:after="80" w:line="280"/>
      </w:pPr>
      <w:r>
        <w:t xml:space="preserve">HRV trends from wearable integration (opt-in, with consent)</w:t>
      </w:r>
    </w:p>
    <w:p>
      <w:pPr>
        <w:pStyle w:val="ListParagraph"/>
        <w:numPr>
          <w:ilvl w:val="0"/>
          <w:numId w:val="2"/>
        </w:numPr>
        <w:spacing w:after="80" w:line="280"/>
      </w:pPr>
      <w:r>
        <w:t xml:space="preserve">Sleep duration and quality from wearable data</w:t>
      </w:r>
    </w:p>
    <w:p>
      <w:pPr>
        <w:pStyle w:val="ListParagraph"/>
        <w:numPr>
          <w:ilvl w:val="0"/>
          <w:numId w:val="2"/>
        </w:numPr>
        <w:spacing w:after="80" w:line="280"/>
      </w:pPr>
      <w:r>
        <w:t xml:space="preserve">Validated brief screens (PHQ-9, GAD-7, AUDIT-C, UCLA-3) at quarterly cadence</w:t>
      </w:r>
    </w:p>
    <w:p>
      <w:pPr>
        <w:pStyle w:val="ListParagraph"/>
        <w:numPr>
          <w:ilvl w:val="0"/>
          <w:numId w:val="2"/>
        </w:numPr>
        <w:spacing w:after="80" w:line="280"/>
      </w:pPr>
      <w:r>
        <w:t xml:space="preserve">Help-seeking behavior frequency (EAP contacts, peer support engagements, counseling utilization)</w:t>
      </w:r>
    </w:p>
    <w:p>
      <w:pPr>
        <w:pStyle w:val="Heading3"/>
        <w:spacing w:after="120" w:before="200"/>
      </w:pPr>
      <w:r>
        <w:t xml:space="preserve">Tier 2: Mid-Range Outcomes (Quarterly to Annual)</w:t>
      </w:r>
    </w:p>
    <w:p>
      <w:pPr>
        <w:spacing w:after="160" w:line="300"/>
      </w:pPr>
      <w:r>
        <w:t xml:space="preserve">The metrics that move executives and demonstrate operational impact.</w:t>
      </w:r>
    </w:p>
    <w:p>
      <w:pPr>
        <w:pStyle w:val="ListParagraph"/>
        <w:numPr>
          <w:ilvl w:val="0"/>
          <w:numId w:val="2"/>
        </w:numPr>
        <w:spacing w:after="80" w:line="280"/>
      </w:pPr>
      <w:r>
        <w:t xml:space="preserve">Recordable injury rate, lost-time incidents, workers' compensation claims</w:t>
      </w:r>
    </w:p>
    <w:p>
      <w:pPr>
        <w:pStyle w:val="ListParagraph"/>
        <w:numPr>
          <w:ilvl w:val="0"/>
          <w:numId w:val="2"/>
        </w:numPr>
        <w:spacing w:after="80" w:line="280"/>
      </w:pPr>
      <w:r>
        <w:t xml:space="preserve">Near-miss reporting rate (initially expected to rise as reporting culture forms)</w:t>
      </w:r>
    </w:p>
    <w:p>
      <w:pPr>
        <w:pStyle w:val="ListParagraph"/>
        <w:numPr>
          <w:ilvl w:val="0"/>
          <w:numId w:val="2"/>
        </w:numPr>
        <w:spacing w:after="80" w:line="280"/>
      </w:pPr>
      <w:r>
        <w:t xml:space="preserve">Absenteeism and presenteeism</w:t>
      </w:r>
    </w:p>
    <w:p>
      <w:pPr>
        <w:pStyle w:val="ListParagraph"/>
        <w:numPr>
          <w:ilvl w:val="0"/>
          <w:numId w:val="2"/>
        </w:numPr>
        <w:spacing w:after="80" w:line="280"/>
      </w:pPr>
      <w:r>
        <w:t xml:space="preserve">Turnover and retention by tenure</w:t>
      </w:r>
    </w:p>
    <w:p>
      <w:pPr>
        <w:pStyle w:val="ListParagraph"/>
        <w:numPr>
          <w:ilvl w:val="0"/>
          <w:numId w:val="2"/>
        </w:numPr>
        <w:spacing w:after="80" w:line="280"/>
      </w:pPr>
      <w:r>
        <w:t xml:space="preserve">Substance-related incidents</w:t>
      </w:r>
    </w:p>
    <w:p>
      <w:pPr>
        <w:pStyle w:val="ListParagraph"/>
        <w:numPr>
          <w:ilvl w:val="0"/>
          <w:numId w:val="2"/>
        </w:numPr>
        <w:spacing w:after="80" w:line="280"/>
      </w:pPr>
      <w:r>
        <w:t xml:space="preserve">Workplace abuse reports (counterintuitively, early increases are positive signals)</w:t>
      </w:r>
    </w:p>
    <w:p>
      <w:pPr>
        <w:pStyle w:val="ListParagraph"/>
        <w:numPr>
          <w:ilvl w:val="0"/>
          <w:numId w:val="2"/>
        </w:numPr>
        <w:spacing w:after="80" w:line="280"/>
      </w:pPr>
      <w:r>
        <w:t xml:space="preserve">Family program engagement rates</w:t>
      </w:r>
    </w:p>
    <w:p>
      <w:pPr>
        <w:pStyle w:val="Heading3"/>
        <w:spacing w:after="120" w:before="200"/>
      </w:pPr>
      <w:r>
        <w:t xml:space="preserve">Tier 3: Lagging Outcomes (Annual to Multi-Year)</w:t>
      </w:r>
    </w:p>
    <w:p>
      <w:pPr>
        <w:spacing w:after="160" w:line="300"/>
      </w:pPr>
      <w:r>
        <w:t xml:space="preserve">The metrics that justify the entire program.</w:t>
      </w:r>
    </w:p>
    <w:p>
      <w:pPr>
        <w:pStyle w:val="ListParagraph"/>
        <w:numPr>
          <w:ilvl w:val="0"/>
          <w:numId w:val="2"/>
        </w:numPr>
        <w:spacing w:after="80" w:line="280"/>
      </w:pPr>
      <w:r>
        <w:t xml:space="preserve">Suicide and suicide attempt rates compared to industry baseline (CDC NIOSH data)</w:t>
      </w:r>
    </w:p>
    <w:p>
      <w:pPr>
        <w:pStyle w:val="ListParagraph"/>
        <w:numPr>
          <w:ilvl w:val="0"/>
          <w:numId w:val="2"/>
        </w:numPr>
        <w:spacing w:after="80" w:line="280"/>
      </w:pPr>
      <w:r>
        <w:t xml:space="preserve">Overdose mortality rates</w:t>
      </w:r>
    </w:p>
    <w:p>
      <w:pPr>
        <w:pStyle w:val="ListParagraph"/>
        <w:numPr>
          <w:ilvl w:val="0"/>
          <w:numId w:val="2"/>
        </w:numPr>
        <w:spacing w:after="80" w:line="280"/>
      </w:pPr>
      <w:r>
        <w:t xml:space="preserve">Cardiovascular events</w:t>
      </w:r>
    </w:p>
    <w:p>
      <w:pPr>
        <w:pStyle w:val="ListParagraph"/>
        <w:numPr>
          <w:ilvl w:val="0"/>
          <w:numId w:val="2"/>
        </w:numPr>
        <w:spacing w:after="80" w:line="280"/>
      </w:pPr>
      <w:r>
        <w:t xml:space="preserve">Mental health hospitalizations</w:t>
      </w:r>
    </w:p>
    <w:p>
      <w:pPr>
        <w:pStyle w:val="ListParagraph"/>
        <w:numPr>
          <w:ilvl w:val="0"/>
          <w:numId w:val="2"/>
        </w:numPr>
        <w:spacing w:after="80" w:line="280"/>
      </w:pPr>
      <w:r>
        <w:t xml:space="preserve">Three-year and five-year retention</w:t>
      </w:r>
    </w:p>
    <w:p>
      <w:pPr>
        <w:pStyle w:val="ListParagraph"/>
        <w:numPr>
          <w:ilvl w:val="0"/>
          <w:numId w:val="2"/>
        </w:numPr>
        <w:spacing w:after="80" w:line="280"/>
      </w:pPr>
      <w:r>
        <w:t xml:space="preserve">Workers' compensation experience modification trend</w:t>
      </w:r>
    </w:p>
    <w:p>
      <w:pPr>
        <w:pStyle w:val="Heading2"/>
        <w:spacing w:after="160" w:before="280"/>
      </w:pPr>
      <w:r>
        <w:t xml:space="preserve">8.2 The Research Partnership</w:t>
      </w:r>
    </w:p>
    <w:p>
      <w:pPr>
        <w:spacing w:after="160" w:line="300"/>
      </w:pPr>
      <w:r>
        <w:t xml:space="preserve">The Full-Service and Enterprise tiers include university research partnership access (University of Arizona, Arizona State University, and Pepperdine University). For Weitz, this means:</w:t>
      </w:r>
    </w:p>
    <w:p>
      <w:pPr>
        <w:pStyle w:val="ListParagraph"/>
        <w:numPr>
          <w:ilvl w:val="0"/>
          <w:numId w:val="2"/>
        </w:numPr>
        <w:spacing w:after="80" w:line="280"/>
      </w:pPr>
      <w:r>
        <w:t xml:space="preserve">WI12 deployment data feeds into peer-reviewed academic research on integrated workforce wellness in construction</w:t>
      </w:r>
    </w:p>
    <w:p>
      <w:pPr>
        <w:pStyle w:val="ListParagraph"/>
        <w:numPr>
          <w:ilvl w:val="0"/>
          <w:numId w:val="2"/>
        </w:numPr>
        <w:spacing w:after="80" w:line="280"/>
      </w:pPr>
      <w:r>
        <w:t xml:space="preserve">Weitz contributes to and benefits from published findings without bearing the cost of conducting the research</w:t>
      </w:r>
    </w:p>
    <w:p>
      <w:pPr>
        <w:pStyle w:val="ListParagraph"/>
        <w:numPr>
          <w:ilvl w:val="0"/>
          <w:numId w:val="2"/>
        </w:numPr>
        <w:spacing w:after="80" w:line="280"/>
      </w:pPr>
      <w:r>
        <w:t xml:space="preserve">Independent academic analysis provides defensible third-party validation of program outcomes</w:t>
      </w:r>
    </w:p>
    <w:p>
      <w:pPr>
        <w:pStyle w:val="ListParagraph"/>
        <w:numPr>
          <w:ilvl w:val="0"/>
          <w:numId w:val="2"/>
        </w:numPr>
        <w:spacing w:after="80" w:line="280"/>
      </w:pPr>
      <w:r>
        <w:t xml:space="preserve">Joint publication rights (Enterprise tier) allow Weitz to be named in academic literature as a founding pilot organization</w:t>
      </w:r>
    </w:p>
    <w:p>
      <w:pPr>
        <w:pStyle w:val="Heading2"/>
        <w:spacing w:after="160" w:before="280"/>
      </w:pPr>
      <w:r>
        <w:t xml:space="preserve">8.3 What Success Looks Like</w:t>
      </w:r>
    </w:p>
    <w:p>
      <w:pPr>
        <w:spacing w:after="160" w:line="300"/>
      </w:pPr>
      <w:r>
        <w:t xml:space="preserve">Success milestones at common reporting intervals:</w:t>
      </w:r>
    </w:p>
    <w:p>
      <w:pPr>
        <w:pStyle w:val="ListParagraph"/>
        <w:numPr>
          <w:ilvl w:val="0"/>
          <w:numId w:val="2"/>
        </w:numPr>
        <w:spacing w:after="80" w:line="280"/>
      </w:pPr>
      <w:r>
        <w:rPr>
          <w:b/>
          <w:bCs/>
        </w:rPr>
        <w:t xml:space="preserve">Month 6: </w:t>
      </w:r>
      <w:r>
        <w:t xml:space="preserve">Workforce utilization above 30% (industry-leading for new wellness deployments). Baseline Tier 2 outcome measurement infrastructure operational. First quarterly impact report delivered.</w:t>
      </w:r>
    </w:p>
    <w:p>
      <w:pPr>
        <w:pStyle w:val="ListParagraph"/>
        <w:numPr>
          <w:ilvl w:val="0"/>
          <w:numId w:val="2"/>
        </w:numPr>
        <w:spacing w:after="80" w:line="280"/>
      </w:pPr>
      <w:r>
        <w:rPr>
          <w:b/>
          <w:bCs/>
        </w:rPr>
        <w:t xml:space="preserve">Month 12: </w:t>
      </w:r>
      <w:r>
        <w:t xml:space="preserve">Measurable Tier 2 movement on at least one of: injury rate, turnover, near-miss reporting, EAP utilization. First annual ROI report to Weitz finance leadership. Co-authored case study draft for industry publication.</w:t>
      </w:r>
    </w:p>
    <w:p>
      <w:pPr>
        <w:pStyle w:val="ListParagraph"/>
        <w:numPr>
          <w:ilvl w:val="0"/>
          <w:numId w:val="2"/>
        </w:numPr>
        <w:spacing w:after="80" w:line="280"/>
      </w:pPr>
      <w:r>
        <w:rPr>
          <w:b/>
          <w:bCs/>
        </w:rPr>
        <w:t xml:space="preserve">Month 24: </w:t>
      </w:r>
      <w:r>
        <w:t xml:space="preserve">Multi-quarter trend data on Tier 2 outcomes. Workers' compensation experience modification trend visible. First peer-reviewed academic paper using WI12 data submitted.</w:t>
      </w:r>
    </w:p>
    <w:p>
      <w:pPr>
        <w:pStyle w:val="ListParagraph"/>
        <w:numPr>
          <w:ilvl w:val="0"/>
          <w:numId w:val="2"/>
        </w:numPr>
        <w:spacing w:after="80" w:line="280"/>
      </w:pPr>
      <w:r>
        <w:rPr>
          <w:b/>
          <w:bCs/>
        </w:rPr>
        <w:t xml:space="preserve">Month 36: </w:t>
      </w:r>
      <w:r>
        <w:t xml:space="preserve">Tier 3 lagging outcome data approaching statistical power for site-specific reporting. Multi-site comparison enabled (Weitz + other founding pilot partners). Industry recognition for Weitz as a workforce wellness leader.</w:t>
      </w:r>
    </w:p>
    <w:p>
      <w:r>
        <w:br w:type="page"/>
      </w:r>
    </w:p>
    <w:p>
      <w:pPr>
        <w:pStyle w:val="Heading1"/>
        <w:spacing w:after="200" w:before="360"/>
      </w:pPr>
      <w:r>
        <w:t xml:space="preserve">9. What Happens Next</w:t>
      </w:r>
    </w:p>
    <w:p>
      <w:pPr>
        <w:spacing w:after="160" w:line="300"/>
      </w:pPr>
      <w:r>
        <w:t xml:space="preserve">If this document makes the case it is intended to make, the next steps are straightforward.</w:t>
      </w:r>
    </w:p>
    <w:p>
      <w:pPr>
        <w:pStyle w:val="Heading2"/>
        <w:spacing w:after="160" w:before="280"/>
      </w:pPr>
      <w:r>
        <w:t xml:space="preserve">9.1 Recommended Next Conversations</w:t>
      </w:r>
    </w:p>
    <w:p>
      <w:pPr>
        <w:pStyle w:val="ListParagraph"/>
        <w:numPr>
          <w:ilvl w:val="0"/>
          <w:numId w:val="3"/>
        </w:numPr>
        <w:spacing w:after="80" w:line="280"/>
      </w:pPr>
      <w:r>
        <w:t xml:space="preserve">Executive briefing. Recharge Pro and PIA leadership meet with Weitz executive team for a working session. Walk through the stack, the science, the business case, and the WI12 configuration.</w:t>
      </w:r>
    </w:p>
    <w:p>
      <w:pPr>
        <w:pStyle w:val="ListParagraph"/>
        <w:numPr>
          <w:ilvl w:val="0"/>
          <w:numId w:val="3"/>
        </w:numPr>
        <w:spacing w:after="80" w:line="280"/>
      </w:pPr>
      <w:r>
        <w:t xml:space="preserve">ROI modeling. Weitz finance team uses the Recharge Pro ROI calculator at rechargeproconstructionroicalc.netlify.app with actual WI12 and portfolio workforce numbers, workers' compensation baseline, and turnover rates. Project-specific ROI replaces illustrative ROI.</w:t>
      </w:r>
    </w:p>
    <w:p>
      <w:pPr>
        <w:pStyle w:val="ListParagraph"/>
        <w:numPr>
          <w:ilvl w:val="0"/>
          <w:numId w:val="3"/>
        </w:numPr>
        <w:spacing w:after="80" w:line="280"/>
      </w:pPr>
      <w:r>
        <w:t xml:space="preserve">Vantage stakeholder alignment. Briefing for Vantage owner team on the WI12 deployment plan. Vantage's interest in workforce wellness as part of project execution is a factor in the configuration and the founding partner positioning.</w:t>
      </w:r>
    </w:p>
    <w:p>
      <w:pPr>
        <w:pStyle w:val="ListParagraph"/>
        <w:numPr>
          <w:ilvl w:val="0"/>
          <w:numId w:val="3"/>
        </w:numPr>
        <w:spacing w:after="80" w:line="280"/>
      </w:pPr>
      <w:r>
        <w:t xml:space="preserve">Pilot scoping and contracting. Site survey for WI12. Confirmation of equipment placement, implementation timeline, subscription tier, and Year One Dream Team engagements. Contract execution.</w:t>
      </w:r>
    </w:p>
    <w:p>
      <w:pPr>
        <w:pStyle w:val="ListParagraph"/>
        <w:numPr>
          <w:ilvl w:val="0"/>
          <w:numId w:val="3"/>
        </w:numPr>
        <w:spacing w:after="80" w:line="280"/>
      </w:pPr>
      <w:r>
        <w:t xml:space="preserve">Deployment launch. The eight to twelve week deployment timeline begins on contract signing. WI12 workforce engaged with the full stack within the first quarter of deployment.</w:t>
      </w:r>
    </w:p>
    <w:p>
      <w:pPr>
        <w:pStyle w:val="Heading2"/>
        <w:spacing w:after="160" w:before="280"/>
      </w:pPr>
      <w:r>
        <w:t xml:space="preserve">9.2 What Would Cause Recharge Pro to Walk Away</w:t>
      </w:r>
    </w:p>
    <w:p>
      <w:pPr>
        <w:spacing w:after="160" w:line="300"/>
      </w:pPr>
      <w:r>
        <w:t xml:space="preserve">Transparent on this point: Recharge Pro will not deploy at a site where the conditions for success are not present. The pre-conditions are:</w:t>
      </w:r>
    </w:p>
    <w:p>
      <w:pPr>
        <w:pStyle w:val="ListParagraph"/>
        <w:numPr>
          <w:ilvl w:val="0"/>
          <w:numId w:val="2"/>
        </w:numPr>
        <w:spacing w:after="80" w:line="280"/>
      </w:pPr>
      <w:r>
        <w:t xml:space="preserve">Executive sponsorship at the Weitz project leadership level, not just safety or HR delegation</w:t>
      </w:r>
    </w:p>
    <w:p>
      <w:pPr>
        <w:pStyle w:val="ListParagraph"/>
        <w:numPr>
          <w:ilvl w:val="0"/>
          <w:numId w:val="2"/>
        </w:numPr>
        <w:spacing w:after="80" w:line="280"/>
      </w:pPr>
      <w:r>
        <w:t xml:space="preserve">Vantage owner team awareness and at least passive support (the deployment is more effective with active owner endorsement)</w:t>
      </w:r>
    </w:p>
    <w:p>
      <w:pPr>
        <w:pStyle w:val="ListParagraph"/>
        <w:numPr>
          <w:ilvl w:val="0"/>
          <w:numId w:val="2"/>
        </w:numPr>
        <w:spacing w:after="80" w:line="280"/>
      </w:pPr>
      <w:r>
        <w:t xml:space="preserve">Willingness to participate in the measurement and research framework, including baseline data collection</w:t>
      </w:r>
    </w:p>
    <w:p>
      <w:pPr>
        <w:pStyle w:val="ListParagraph"/>
        <w:numPr>
          <w:ilvl w:val="0"/>
          <w:numId w:val="2"/>
        </w:numPr>
        <w:spacing w:after="80" w:line="280"/>
      </w:pPr>
      <w:r>
        <w:t xml:space="preserve">Acceptance that the Standard pricing model is not negotiable on rate, only on scope</w:t>
      </w:r>
    </w:p>
    <w:p>
      <w:pPr>
        <w:spacing w:after="160" w:line="300"/>
      </w:pPr>
      <w:r>
        <w:t xml:space="preserve">None of these are unreasonable. They are the minimum conditions for the program to actually work. If any of them is missing, Recharge Pro is better served by deploying with a different founding pilot partner, and Weitz is better served by waiting until the conditions are present.</w:t>
      </w:r>
    </w:p>
    <w:p>
      <w:pPr>
        <w:pStyle w:val="Heading2"/>
        <w:spacing w:after="160" w:before="280"/>
      </w:pPr>
      <w:r>
        <w:t xml:space="preserve">9.3 The Larger Picture</w:t>
      </w:r>
    </w:p>
    <w:p>
      <w:pPr>
        <w:spacing w:after="160" w:line="300"/>
      </w:pPr>
      <w:r>
        <w:t xml:space="preserve">Construction does not have to keep killing its own workers. The science exists. The partners exist. The infrastructure is being built. What remains is for a few credible general contractors to demonstrate at scale that the integrated approach works, and to publish the outcomes. The first three to five GCs that do this set the standard for the industry.</w:t>
      </w:r>
    </w:p>
    <w:p>
      <w:pPr>
        <w:spacing w:after="160" w:line="300"/>
      </w:pPr>
      <w:r>
        <w:t xml:space="preserve">Weitz is positioned to be the first. WI12 is the right project. The Recharge Pro Stack is the right vehicle. The math justifies the spend. The mortality data justifies the urgency. The peer-reviewed evidence supports each layer of the architecture. What remains is the decision.</w:t>
      </w:r>
    </w:p>
    <w:p>
      <w:pPr>
        <w:pBdr>
          <w:left w:val="single" w:color="6CC04A" w:sz="24" w:space="12"/>
        </w:pBdr>
        <w:spacing w:after="200" w:before="160" w:line="300"/>
        <w:ind w:left="480"/>
      </w:pPr>
      <w:r>
        <w:rPr>
          <w:i/>
          <w:iCs/>
          <w:color w:val="4C4C4C"/>
        </w:rPr>
        <w:t xml:space="preserve">Whole workers. Strong families. Resilient teams. Elite performance. Generational impact.</w:t>
      </w:r>
    </w:p>
    <w:p>
      <w:pPr>
        <w:spacing w:after="160" w:line="300"/>
      </w:pPr>
      <w:r>
        <w:t xml:space="preserve">That is the destination. WI12 is the first step.</w:t>
      </w:r>
    </w:p>
    <w:p>
      <w:pPr>
        <w:spacing w:after="80"/>
      </w:pPr>
      <w:r>
        <w:t xml:space="preserve"/>
      </w:r>
    </w:p>
    <w:p>
      <w:pPr>
        <w:spacing w:after="160" w:line="300"/>
        <w:rPr>
          <w:i/>
          <w:iCs/>
          <w:color w:val="4C4C4C"/>
        </w:rPr>
      </w:pPr>
      <w:r>
        <w:rPr>
          <w:i/>
          <w:iCs/>
          <w:color w:val="4C4C4C"/>
        </w:rPr>
        <w:t xml:space="preserve">Respectfully submitted,</w:t>
      </w:r>
    </w:p>
    <w:p>
      <w:pPr>
        <w:spacing w:after="80"/>
      </w:pPr>
      <w:r>
        <w:t xml:space="preserve"/>
      </w:r>
    </w:p>
    <w:p>
      <w:pPr>
        <w:spacing w:after="160" w:line="300"/>
        <w:rPr>
          <w:b/>
          <w:bCs/>
          <w:color w:val="1A1A1A"/>
        </w:rPr>
      </w:pPr>
      <w:r>
        <w:rPr>
          <w:b/>
          <w:bCs/>
          <w:color w:val="1A1A1A"/>
        </w:rPr>
        <w:t xml:space="preserve">Rich Ganley</w:t>
      </w:r>
    </w:p>
    <w:p>
      <w:pPr>
        <w:spacing w:after="160" w:line="300"/>
        <w:rPr>
          <w:i/>
          <w:iCs/>
          <w:color w:val="4C4C4C"/>
        </w:rPr>
      </w:pPr>
      <w:r>
        <w:rPr>
          <w:i/>
          <w:iCs/>
          <w:color w:val="4C4C4C"/>
        </w:rPr>
        <w:t xml:space="preserve">On behalf of Recharge Pro and the Positive Impact Alliance</w:t>
      </w:r>
    </w:p>
    <w:p>
      <w:r>
        <w:br w:type="page"/>
      </w:r>
    </w:p>
    <w:p>
      <w:pPr>
        <w:pStyle w:val="Heading1"/>
        <w:spacing w:after="200" w:before="360"/>
      </w:pPr>
      <w:r>
        <w:t xml:space="preserve">Selected References</w:t>
      </w:r>
    </w:p>
    <w:p>
      <w:pPr>
        <w:spacing w:after="160" w:line="300"/>
        <w:rPr>
          <w:i/>
          <w:iCs/>
          <w:color w:val="4C4C4C"/>
        </w:rPr>
      </w:pPr>
      <w:r>
        <w:rPr>
          <w:i/>
          <w:iCs/>
          <w:color w:val="4C4C4C"/>
        </w:rPr>
        <w:t xml:space="preserve">Citations for the major scientific claims in this document. Not exhaustive. Recharge Pro's complete reference bibliography is available on request through Recharge Pro leadership.</w:t>
      </w:r>
    </w:p>
    <w:p>
      <w:pPr>
        <w:pStyle w:val="Heading3"/>
        <w:spacing w:after="120" w:before="200"/>
      </w:pPr>
      <w:r>
        <w:t xml:space="preserve">Construction Workforce Mortality and Mental Health</w:t>
      </w:r>
    </w:p>
    <w:p>
      <w:pPr>
        <w:pStyle w:val="ListParagraph"/>
        <w:numPr>
          <w:ilvl w:val="0"/>
          <w:numId w:val="2"/>
        </w:numPr>
        <w:spacing w:after="80" w:line="280"/>
      </w:pPr>
      <w:r>
        <w:t xml:space="preserve">Sussell A, Peterson C, Li J, et al. Suicide Rates by Industry and Occupation, National Vital Statistics System, United States, 2021. MMWR Morb Mortal Wkly Rep 2023;72:1346-1350.</w:t>
      </w:r>
    </w:p>
    <w:p>
      <w:pPr>
        <w:pStyle w:val="ListParagraph"/>
        <w:numPr>
          <w:ilvl w:val="0"/>
          <w:numId w:val="2"/>
        </w:numPr>
        <w:spacing w:after="80" w:line="280"/>
      </w:pPr>
      <w:r>
        <w:t xml:space="preserve">Harris W, Trueblood AB, Yohannes T, Rodman CP, Rinehart R. Suicides among construction workers in the United States, 2021. American Journal of Industrial Medicine. 2025 Mar;68 Suppl 1:S144-S151.</w:t>
      </w:r>
    </w:p>
    <w:p>
      <w:pPr>
        <w:pStyle w:val="ListParagraph"/>
        <w:numPr>
          <w:ilvl w:val="0"/>
          <w:numId w:val="2"/>
        </w:numPr>
        <w:spacing w:after="80" w:line="280"/>
      </w:pPr>
      <w:r>
        <w:t xml:space="preserve">Peterson C, Sussell A, Li J, et al. Suicide Rates by Industry and Occupation, National Violent Death Reporting System, 32 States, 2016. MMWR Morb Mortal Wkly Rep 2020;69:57-62.</w:t>
      </w:r>
    </w:p>
    <w:p>
      <w:pPr>
        <w:pStyle w:val="ListParagraph"/>
        <w:numPr>
          <w:ilvl w:val="0"/>
          <w:numId w:val="2"/>
        </w:numPr>
        <w:spacing w:after="80" w:line="280"/>
      </w:pPr>
      <w:r>
        <w:t xml:space="preserve">CPWR Data Bulletin: Mental Health and Suicide Prevention in the Construction Industry. September 2024.</w:t>
      </w:r>
    </w:p>
    <w:p>
      <w:pPr>
        <w:pStyle w:val="ListParagraph"/>
        <w:numPr>
          <w:ilvl w:val="0"/>
          <w:numId w:val="2"/>
        </w:numPr>
        <w:spacing w:after="80" w:line="280"/>
      </w:pPr>
      <w:r>
        <w:t xml:space="preserve">Tyler S, Hunkin H, Pusey K, et al. Disentangling rates, risk, and drivers of suicide in the construction industry: A systematic review. Crisis. 2022.</w:t>
      </w:r>
    </w:p>
    <w:p>
      <w:pPr>
        <w:pStyle w:val="ListParagraph"/>
        <w:numPr>
          <w:ilvl w:val="0"/>
          <w:numId w:val="2"/>
        </w:numPr>
        <w:spacing w:after="80" w:line="280"/>
      </w:pPr>
      <w:r>
        <w:t xml:space="preserve">Ross V, Mathieu SL, Wardhani R, Gullestrup J, Kõlves K. Factors associated with workplace bullying and the mental health of construction industry apprentices: a mixed methods study. 2021.</w:t>
      </w:r>
    </w:p>
    <w:p>
      <w:pPr>
        <w:pStyle w:val="Heading3"/>
        <w:spacing w:after="120" w:before="200"/>
      </w:pPr>
      <w:r>
        <w:t xml:space="preserve">Stress Physiology and Recovery Science</w:t>
      </w:r>
    </w:p>
    <w:p>
      <w:pPr>
        <w:pStyle w:val="ListParagraph"/>
        <w:numPr>
          <w:ilvl w:val="0"/>
          <w:numId w:val="2"/>
        </w:numPr>
        <w:spacing w:after="80" w:line="280"/>
      </w:pPr>
      <w:r>
        <w:t xml:space="preserve">McEwen BS. Stress, adaptation, and disease: Allostasis and allostatic load. Ann N Y Acad Sci. 1998;840:33-44.</w:t>
      </w:r>
    </w:p>
    <w:p>
      <w:pPr>
        <w:pStyle w:val="ListParagraph"/>
        <w:numPr>
          <w:ilvl w:val="0"/>
          <w:numId w:val="2"/>
        </w:numPr>
        <w:spacing w:after="80" w:line="280"/>
      </w:pPr>
      <w:r>
        <w:t xml:space="preserve">Porges SW. The polyvagal theory: phylogenetic substrates of a social nervous system. Int J Psychophysiol. 2001;42(2):123-146.</w:t>
      </w:r>
    </w:p>
    <w:p>
      <w:pPr>
        <w:pStyle w:val="ListParagraph"/>
        <w:numPr>
          <w:ilvl w:val="0"/>
          <w:numId w:val="2"/>
        </w:numPr>
        <w:spacing w:after="80" w:line="280"/>
      </w:pPr>
      <w:r>
        <w:t xml:space="preserve">Hamblin MR. Mechanisms and applications of the anti-inflammatory effects of photobiomodulation. AIMS Biophysics. 2017.</w:t>
      </w:r>
    </w:p>
    <w:p>
      <w:pPr>
        <w:pStyle w:val="ListParagraph"/>
        <w:numPr>
          <w:ilvl w:val="0"/>
          <w:numId w:val="2"/>
        </w:numPr>
        <w:spacing w:after="80" w:line="280"/>
      </w:pPr>
      <w:r>
        <w:t xml:space="preserve">Laukkanen JA, Laukkanen T, Kunutsor SK. Cardiovascular and Other Health Benefits of Sauna Bathing. Mayo Clin Proc. 2018.</w:t>
      </w:r>
    </w:p>
    <w:p>
      <w:pPr>
        <w:pStyle w:val="ListParagraph"/>
        <w:numPr>
          <w:ilvl w:val="0"/>
          <w:numId w:val="2"/>
        </w:numPr>
        <w:spacing w:after="80" w:line="280"/>
      </w:pPr>
      <w:r>
        <w:t xml:space="preserve">Søberg S, et al. Altered brown fat thermoregulation and enhanced cold-induced thermogenesis in young, healthy, winter-swimming men. Cell Reports Medicine, 2021.</w:t>
      </w:r>
    </w:p>
    <w:p>
      <w:pPr>
        <w:pStyle w:val="Heading3"/>
        <w:spacing w:after="120" w:before="200"/>
      </w:pPr>
      <w:r>
        <w:t xml:space="preserve">Musculoskeletal Disorders</w:t>
      </w:r>
    </w:p>
    <w:p>
      <w:pPr>
        <w:pStyle w:val="ListParagraph"/>
        <w:numPr>
          <w:ilvl w:val="0"/>
          <w:numId w:val="2"/>
        </w:numPr>
        <w:spacing w:after="80" w:line="280"/>
      </w:pPr>
      <w:r>
        <w:t xml:space="preserve">Anwer S, Li H, Antwi-Afari MF, et al. A systematic review and meta-analysis on the prevalence and demographic risk factors of work-related musculoskeletal disorders in construction workers. PMC 12554755, 2024.</w:t>
      </w:r>
    </w:p>
    <w:p>
      <w:pPr>
        <w:pStyle w:val="ListParagraph"/>
        <w:numPr>
          <w:ilvl w:val="0"/>
          <w:numId w:val="2"/>
        </w:numPr>
        <w:spacing w:after="80" w:line="280"/>
      </w:pPr>
      <w:r>
        <w:t xml:space="preserve">Hossain MD, Aftab A, Al Imam MH, et al. Prevalence of work-related musculoskeletal disorders by countries, occupations, and industries. PLoS One. 2018;13(11):e0207914.</w:t>
      </w:r>
    </w:p>
    <w:p>
      <w:pPr>
        <w:pStyle w:val="Heading3"/>
        <w:spacing w:after="120" w:before="200"/>
      </w:pPr>
      <w:r>
        <w:t xml:space="preserve">Substance Use Disorder and Opioid Crisis</w:t>
      </w:r>
    </w:p>
    <w:p>
      <w:pPr>
        <w:pStyle w:val="ListParagraph"/>
        <w:numPr>
          <w:ilvl w:val="0"/>
          <w:numId w:val="2"/>
        </w:numPr>
        <w:spacing w:after="80" w:line="280"/>
      </w:pPr>
      <w:r>
        <w:t xml:space="preserve">Billock RM, Steege AL, Miniño A. Drug overdose mortality by usual occupation and industry: 46 US states and New York City, 2020. NVSR 2023;72(7).</w:t>
      </w:r>
    </w:p>
    <w:p>
      <w:pPr>
        <w:pStyle w:val="ListParagraph"/>
        <w:numPr>
          <w:ilvl w:val="0"/>
          <w:numId w:val="2"/>
        </w:numPr>
        <w:spacing w:after="80" w:line="280"/>
      </w:pPr>
      <w:r>
        <w:t xml:space="preserve">Dale AM, Buckner-Petty S, Evanoff BA. Addressing the Opioid Overdose Epidemic in Construction. CDC NIOSH Science Blog, 2021.</w:t>
      </w:r>
    </w:p>
    <w:p>
      <w:pPr>
        <w:pStyle w:val="ListParagraph"/>
        <w:numPr>
          <w:ilvl w:val="0"/>
          <w:numId w:val="2"/>
        </w:numPr>
        <w:spacing w:after="80" w:line="280"/>
      </w:pPr>
      <w:r>
        <w:t xml:space="preserve">Ompad DC, Gershon RR, Sandh S, et al. Construction trade and extraction workers: A population at high risk for drug use in the United States, 2005-2014. Drug Alcohol Depend. 2020;205:107640.</w:t>
      </w:r>
    </w:p>
    <w:p>
      <w:pPr>
        <w:pStyle w:val="Heading3"/>
        <w:spacing w:after="120" w:before="200"/>
      </w:pPr>
      <w:r>
        <w:t xml:space="preserve">AI-Driven Mental Health Intervention</w:t>
      </w:r>
    </w:p>
    <w:p>
      <w:pPr>
        <w:pStyle w:val="ListParagraph"/>
        <w:numPr>
          <w:ilvl w:val="0"/>
          <w:numId w:val="2"/>
        </w:numPr>
        <w:spacing w:after="80" w:line="280"/>
      </w:pPr>
      <w:r>
        <w:t xml:space="preserve">Cruz-Gonzalez et al. A Scoping Review of AI-Driven Digital Interventions in Mental Health Care. Healthcare (Basel). 2025;13(10):1205.</w:t>
      </w:r>
    </w:p>
    <w:p>
      <w:pPr>
        <w:pStyle w:val="ListParagraph"/>
        <w:numPr>
          <w:ilvl w:val="0"/>
          <w:numId w:val="2"/>
        </w:numPr>
        <w:spacing w:after="80" w:line="280"/>
      </w:pPr>
      <w:r>
        <w:t xml:space="preserve">Feng Y, Hang Y, Wu W, et al. Effectiveness of AI-Driven Conversational Agents in Improving Mental Health: Systematic Review and Meta-Analysis. JMIR. 2025;27:e69639.</w:t>
      </w:r>
    </w:p>
    <w:p>
      <w:pPr>
        <w:pStyle w:val="ListParagraph"/>
        <w:numPr>
          <w:ilvl w:val="0"/>
          <w:numId w:val="2"/>
        </w:numPr>
        <w:spacing w:after="80" w:line="280"/>
      </w:pPr>
      <w:r>
        <w:t xml:space="preserve">Sustainability of AI-Assisted Mental Health Intervention: A Review of the Literature from 2020-2025. PMC 12469610.</w:t>
      </w:r>
    </w:p>
    <w:p>
      <w:pPr>
        <w:pStyle w:val="Heading3"/>
        <w:spacing w:after="120" w:before="200"/>
      </w:pPr>
      <w:r>
        <w:t xml:space="preserve">Family Systems and Adverse Childhood Experiences</w:t>
      </w:r>
    </w:p>
    <w:p>
      <w:pPr>
        <w:pStyle w:val="ListParagraph"/>
        <w:numPr>
          <w:ilvl w:val="0"/>
          <w:numId w:val="2"/>
        </w:numPr>
        <w:spacing w:after="80" w:line="280"/>
      </w:pPr>
      <w:r>
        <w:t xml:space="preserve">Felitti VJ, Anda RF, Nordenberg D, et al. Relationship of childhood abuse and household dysfunction to many of the leading causes of death in adults: The ACE Study. Am J Prev Med. 1998;14(4):245-258.</w:t>
      </w:r>
    </w:p>
    <w:p>
      <w:pPr>
        <w:pStyle w:val="ListParagraph"/>
        <w:numPr>
          <w:ilvl w:val="0"/>
          <w:numId w:val="2"/>
        </w:numPr>
        <w:spacing w:after="80" w:line="280"/>
      </w:pPr>
      <w:r>
        <w:t xml:space="preserve">Bowen M. Family Therapy in Clinical Practice. Jason Aronson, 1978.</w:t>
      </w:r>
    </w:p>
    <w:p>
      <w:pPr>
        <w:pStyle w:val="ListParagraph"/>
        <w:numPr>
          <w:ilvl w:val="0"/>
          <w:numId w:val="2"/>
        </w:numPr>
        <w:spacing w:after="80" w:line="280"/>
      </w:pPr>
      <w:r>
        <w:t xml:space="preserve">Holt-Lunstad J, Smith TB, Layton JB. Social relationships and mortality risk: a meta-analytic review. PLoS Med. 2010;7(7):e1000316.</w:t>
      </w:r>
    </w:p>
    <w:p>
      <w:pPr>
        <w:pStyle w:val="Heading3"/>
        <w:spacing w:after="120" w:before="200"/>
      </w:pPr>
      <w:r>
        <w:t xml:space="preserve">Workplace Mental Health and Suicide Prevention Frameworks</w:t>
      </w:r>
    </w:p>
    <w:p>
      <w:pPr>
        <w:pStyle w:val="ListParagraph"/>
        <w:numPr>
          <w:ilvl w:val="0"/>
          <w:numId w:val="2"/>
        </w:numPr>
        <w:spacing w:after="80" w:line="280"/>
      </w:pPr>
      <w:r>
        <w:t xml:space="preserve">CDC. Suicide Prevention Resource for Action. 2024. https://www.cdc.gov/suicide/resources/prevention.html</w:t>
      </w:r>
    </w:p>
    <w:p>
      <w:pPr>
        <w:pStyle w:val="ListParagraph"/>
        <w:numPr>
          <w:ilvl w:val="0"/>
          <w:numId w:val="2"/>
        </w:numPr>
        <w:spacing w:after="80" w:line="280"/>
      </w:pPr>
      <w:r>
        <w:t xml:space="preserve">SAMHSA. Trauma-Informed Care in Behavioral Health Services. TIP 57. 2014.</w:t>
      </w:r>
    </w:p>
    <w:p>
      <w:pPr>
        <w:pStyle w:val="ListParagraph"/>
        <w:numPr>
          <w:ilvl w:val="0"/>
          <w:numId w:val="2"/>
        </w:numPr>
        <w:spacing w:after="80" w:line="280"/>
      </w:pPr>
      <w:r>
        <w:t xml:space="preserve">OSHA. Preventing Suicides in Construction. https://www.osha.gov/preventingsuicides</w:t>
      </w:r>
    </w:p>
    <w:p>
      <w:pPr>
        <w:pStyle w:val="ListParagraph"/>
        <w:numPr>
          <w:ilvl w:val="0"/>
          <w:numId w:val="2"/>
        </w:numPr>
        <w:spacing w:after="80" w:line="280"/>
      </w:pPr>
      <w:r>
        <w:t xml:space="preserve">Construction Industry Alliance for Suicide Prevention (CIASP). https://www.preventconstructionsuicide.com/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C4C4C"/>
        <w:sz w:val="16"/>
        <w:szCs w:val="16"/>
      </w:rPr>
      <w:t xml:space="preserve">Recharge Pro  |  Page </w:t>
    </w:r>
    <w:r>
      <w:rPr>
        <w:color w:val="4C4C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C4C4C"/>
        <w:sz w:val="16"/>
        <w:szCs w:val="16"/>
      </w:rPr>
      <w:t xml:space="preserve">THE RECHARGE PRO STACK  |  For The Weitz Company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CC04A" w:sz="12" w:space="6"/>
      </w:pBd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C4C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Recharge Pro Stack: Scientific Foundation and Business Case</dc:title>
  <dc:creator>Recharge Pro</dc:creator>
  <cp:lastModifiedBy>Un-named</cp:lastModifiedBy>
  <cp:revision>1</cp:revision>
  <dcterms:created xsi:type="dcterms:W3CDTF">2026-05-11T15:35:43.286Z</dcterms:created>
  <dcterms:modified xsi:type="dcterms:W3CDTF">2026-05-11T15:35:43.305Z</dcterms:modified>
</cp:coreProperties>
</file>

<file path=docProps/custom.xml><?xml version="1.0" encoding="utf-8"?>
<Properties xmlns="http://schemas.openxmlformats.org/officeDocument/2006/custom-properties" xmlns:vt="http://schemas.openxmlformats.org/officeDocument/2006/docPropsVTypes"/>
</file>