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20/03/2022   </w:t>
        <w:tab/>
        <w:t xml:space="preserve">HORA: 01:40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tareas y continuar con las tareas asignadas en Jira.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las tareas propuestas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continuo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la maquetación y la funcionalidad propuesta en Jira para el correcto avance del proyecto.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Ind w:w="42.0" w:type="dxa"/>
        <w:tblLayout w:type="fixed"/>
        <w:tblLook w:val="0000"/>
      </w:tblPr>
      <w:tblGrid>
        <w:gridCol w:w="2198"/>
        <w:gridCol w:w="2580"/>
        <w:gridCol w:w="1905"/>
        <w:gridCol w:w="2243"/>
        <w:tblGridChange w:id="0">
          <w:tblGrid>
            <w:gridCol w:w="2198"/>
            <w:gridCol w:w="2580"/>
            <w:gridCol w:w="1905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Frontend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asignadas-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asignadas-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tareas e historias asignadas -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1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1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3WIAxmPIW1DSGQhVNBEnq5V3A==">AMUW2mX13v1D9yiwTD3tkzG/AGKHVKQz2GIpUwUrcR/zDuDDL6UB7nIX+ae7QL6SMVVlJOHP79noQAZnPxXX+nwXcQs8XI50JXS8Q2ko5TIzNVeVA/bo0vw=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