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CBAC0E" w14:textId="368DE480" w:rsidR="00871B1E" w:rsidRPr="00454059" w:rsidRDefault="00000000" w:rsidP="00C031F5">
      <w:pPr>
        <w:pStyle w:val="Heading1"/>
        <w:jc w:val="center"/>
        <w:rPr>
          <w:rFonts w:ascii="Times New Roman" w:hAnsi="Times New Roman" w:cs="Times New Roman"/>
        </w:rPr>
      </w:pPr>
      <w:bookmarkStart w:id="0" w:name="X29f1a7b1d372174cb6c898c4b2c7160b8035eee"/>
      <w:r w:rsidRPr="00454059">
        <w:rPr>
          <w:rFonts w:ascii="Times New Roman" w:hAnsi="Times New Roman" w:cs="Times New Roman"/>
        </w:rPr>
        <w:t>FinRAG-Eval  Exploratory Data Analysis Report</w:t>
      </w:r>
    </w:p>
    <w:p w14:paraId="1C945C6C" w14:textId="01AF2656" w:rsidR="00871B1E" w:rsidRPr="00454059" w:rsidRDefault="00000000" w:rsidP="00C031F5">
      <w:pPr>
        <w:pStyle w:val="FirstParagraph"/>
        <w:jc w:val="center"/>
        <w:rPr>
          <w:rFonts w:ascii="Times New Roman" w:hAnsi="Times New Roman" w:cs="Times New Roman"/>
          <w:sz w:val="20"/>
          <w:szCs w:val="20"/>
        </w:rPr>
      </w:pPr>
      <w:r w:rsidRPr="00454059">
        <w:rPr>
          <w:rFonts w:ascii="Times New Roman" w:hAnsi="Times New Roman" w:cs="Times New Roman"/>
          <w:b/>
          <w:bCs/>
          <w:sz w:val="20"/>
          <w:szCs w:val="20"/>
        </w:rPr>
        <w:t>Authors:</w:t>
      </w:r>
      <w:r w:rsidRPr="00454059">
        <w:rPr>
          <w:rFonts w:ascii="Times New Roman" w:hAnsi="Times New Roman" w:cs="Times New Roman"/>
          <w:sz w:val="20"/>
          <w:szCs w:val="20"/>
        </w:rPr>
        <w:t xml:space="preserve"> Mayank Bhardwaj, Harshmeet Kaur, Vidhee Patel </w:t>
      </w:r>
      <w:r w:rsidR="00454059" w:rsidRPr="00454059">
        <w:rPr>
          <w:rFonts w:ascii="Times New Roman" w:hAnsi="Times New Roman" w:cs="Times New Roman"/>
          <w:b/>
          <w:bCs/>
          <w:sz w:val="20"/>
          <w:szCs w:val="20"/>
        </w:rPr>
        <w:t>|</w:t>
      </w:r>
      <w:r w:rsidR="00454059">
        <w:rPr>
          <w:rFonts w:ascii="Times New Roman" w:hAnsi="Times New Roman" w:cs="Times New Roman"/>
          <w:sz w:val="20"/>
          <w:szCs w:val="20"/>
        </w:rPr>
        <w:t xml:space="preserve"> </w:t>
      </w:r>
      <w:r w:rsidRPr="00454059">
        <w:rPr>
          <w:rFonts w:ascii="Times New Roman" w:hAnsi="Times New Roman" w:cs="Times New Roman"/>
          <w:b/>
          <w:bCs/>
          <w:sz w:val="20"/>
          <w:szCs w:val="20"/>
        </w:rPr>
        <w:t>Course:</w:t>
      </w:r>
      <w:r w:rsidRPr="00454059">
        <w:rPr>
          <w:rFonts w:ascii="Times New Roman" w:hAnsi="Times New Roman" w:cs="Times New Roman"/>
          <w:sz w:val="20"/>
          <w:szCs w:val="20"/>
        </w:rPr>
        <w:t xml:space="preserve"> MISM 6214 </w:t>
      </w:r>
      <w:r w:rsidR="00454059" w:rsidRPr="00454059">
        <w:rPr>
          <w:rFonts w:ascii="Times New Roman" w:hAnsi="Times New Roman" w:cs="Times New Roman"/>
          <w:b/>
          <w:bCs/>
          <w:sz w:val="20"/>
          <w:szCs w:val="20"/>
        </w:rPr>
        <w:t xml:space="preserve">| </w:t>
      </w:r>
      <w:r w:rsidRPr="00454059">
        <w:rPr>
          <w:rFonts w:ascii="Times New Roman" w:hAnsi="Times New Roman" w:cs="Times New Roman"/>
          <w:b/>
          <w:bCs/>
          <w:sz w:val="20"/>
          <w:szCs w:val="20"/>
        </w:rPr>
        <w:t>Date:</w:t>
      </w:r>
      <w:r w:rsidRPr="00454059">
        <w:rPr>
          <w:rFonts w:ascii="Times New Roman" w:hAnsi="Times New Roman" w:cs="Times New Roman"/>
          <w:sz w:val="20"/>
          <w:szCs w:val="20"/>
        </w:rPr>
        <w:t xml:space="preserve"> May 28, 2026</w:t>
      </w:r>
    </w:p>
    <w:p w14:paraId="02AA4BB8" w14:textId="77777777" w:rsidR="00871B1E" w:rsidRPr="00454059" w:rsidRDefault="004633BF" w:rsidP="00454059">
      <w:pPr>
        <w:jc w:val="both"/>
        <w:rPr>
          <w:rFonts w:ascii="Times New Roman" w:hAnsi="Times New Roman" w:cs="Times New Roman"/>
        </w:rPr>
      </w:pPr>
      <w:r w:rsidRPr="004633BF">
        <w:rPr>
          <w:rFonts w:ascii="Times New Roman" w:hAnsi="Times New Roman" w:cs="Times New Roman"/>
          <w:noProof/>
        </w:rPr>
        <w:pict w14:anchorId="57CBBB9D">
          <v:rect id="_x0000_i1025" alt="" style="width:451.3pt;height:.05pt;mso-width-percent:0;mso-height-percent:0;mso-width-percent:0;mso-height-percent:0" o:hralign="center" o:hrstd="t" o:hr="t"/>
        </w:pict>
      </w:r>
    </w:p>
    <w:p w14:paraId="5A2772F6" w14:textId="77777777" w:rsidR="00871B1E" w:rsidRPr="00454059" w:rsidRDefault="00000000" w:rsidP="00454059">
      <w:pPr>
        <w:pStyle w:val="Heading2"/>
        <w:jc w:val="both"/>
        <w:rPr>
          <w:rFonts w:ascii="Times New Roman" w:hAnsi="Times New Roman" w:cs="Times New Roman"/>
          <w:sz w:val="24"/>
          <w:szCs w:val="24"/>
        </w:rPr>
      </w:pPr>
      <w:bookmarkStart w:id="1" w:name="data-acquisition-description"/>
      <w:r w:rsidRPr="00454059">
        <w:rPr>
          <w:rFonts w:ascii="Times New Roman" w:hAnsi="Times New Roman" w:cs="Times New Roman"/>
          <w:sz w:val="24"/>
          <w:szCs w:val="24"/>
        </w:rPr>
        <w:t>1. Data Acquisition &amp; Description</w:t>
      </w:r>
    </w:p>
    <w:p w14:paraId="36722C26" w14:textId="717A598A" w:rsidR="00871B1E" w:rsidRPr="00454059" w:rsidRDefault="00000000" w:rsidP="00454059">
      <w:pPr>
        <w:pStyle w:val="FirstParagraph"/>
        <w:jc w:val="both"/>
        <w:rPr>
          <w:rFonts w:ascii="Times New Roman" w:hAnsi="Times New Roman" w:cs="Times New Roman"/>
          <w:sz w:val="20"/>
          <w:szCs w:val="20"/>
        </w:rPr>
      </w:pPr>
      <w:r w:rsidRPr="00454059">
        <w:rPr>
          <w:rFonts w:ascii="Times New Roman" w:hAnsi="Times New Roman" w:cs="Times New Roman"/>
          <w:sz w:val="20"/>
          <w:szCs w:val="20"/>
        </w:rPr>
        <w:t>Our project asks how AI can help analysts retrieve and interpret SEC filings with verifiable evidence. The corpus is the foundation of that question  what we can answer well depends entirely on what we have and how cleanly we can work with it.</w:t>
      </w:r>
    </w:p>
    <w:p w14:paraId="5514840C" w14:textId="07993E6D" w:rsidR="00871B1E" w:rsidRPr="00454059" w:rsidRDefault="00000000" w:rsidP="00454059">
      <w:pPr>
        <w:pStyle w:val="BodyText"/>
        <w:jc w:val="both"/>
        <w:rPr>
          <w:rFonts w:ascii="Times New Roman" w:hAnsi="Times New Roman" w:cs="Times New Roman"/>
          <w:sz w:val="20"/>
          <w:szCs w:val="20"/>
        </w:rPr>
      </w:pPr>
      <w:r w:rsidRPr="00454059">
        <w:rPr>
          <w:rFonts w:ascii="Times New Roman" w:hAnsi="Times New Roman" w:cs="Times New Roman"/>
          <w:sz w:val="20"/>
          <w:szCs w:val="20"/>
        </w:rPr>
        <w:t>We acquired 198 annual reports (Form 10-K) from 50 publicly traded companies through the SEC’s EDGAR system, spanning filing years 2022–2026. The corpus splits roughly evenly across two sectors  27 technology companies (100 filings) and 23 financial-services companies (98 filings)  and produces 59,822 retrieval-ready chunks totaling approximately 117 million characters of cleaned filing text. Each filing carries metadata (ticker, filing year, accession number, sector) in a stable manifest that downstream analysis depends on.</w:t>
      </w:r>
    </w:p>
    <w:p w14:paraId="0F1A9CD3" w14:textId="77777777" w:rsidR="00871B1E" w:rsidRPr="00454059" w:rsidRDefault="00000000" w:rsidP="00454059">
      <w:pPr>
        <w:pStyle w:val="Heading3"/>
        <w:jc w:val="both"/>
        <w:rPr>
          <w:rFonts w:ascii="Times New Roman" w:hAnsi="Times New Roman" w:cs="Times New Roman"/>
          <w:sz w:val="22"/>
          <w:szCs w:val="22"/>
        </w:rPr>
      </w:pPr>
      <w:bookmarkStart w:id="2" w:name="deviations-from-the-original-plan"/>
      <w:r w:rsidRPr="00454059">
        <w:rPr>
          <w:rFonts w:ascii="Times New Roman" w:hAnsi="Times New Roman" w:cs="Times New Roman"/>
          <w:sz w:val="22"/>
          <w:szCs w:val="22"/>
        </w:rPr>
        <w:t>Deviations from the original plan</w:t>
      </w:r>
    </w:p>
    <w:p w14:paraId="0AFF03AD" w14:textId="77777777" w:rsidR="00871B1E" w:rsidRPr="00454059" w:rsidRDefault="00000000" w:rsidP="00454059">
      <w:pPr>
        <w:pStyle w:val="FirstParagraph"/>
        <w:jc w:val="both"/>
        <w:rPr>
          <w:rFonts w:ascii="Times New Roman" w:hAnsi="Times New Roman" w:cs="Times New Roman"/>
          <w:sz w:val="20"/>
          <w:szCs w:val="20"/>
        </w:rPr>
      </w:pPr>
      <w:r w:rsidRPr="00454059">
        <w:rPr>
          <w:rFonts w:ascii="Times New Roman" w:hAnsi="Times New Roman" w:cs="Times New Roman"/>
          <w:sz w:val="20"/>
          <w:szCs w:val="20"/>
        </w:rPr>
        <w:t>The actual corpus differs from Assignment 1 in several respects. Each deviation reflects a deliberate choice made after confronting the real data.</w:t>
      </w:r>
    </w:p>
    <w:tbl>
      <w:tblPr>
        <w:tblStyle w:val="GridTable5Dark"/>
        <w:tblW w:w="4825" w:type="pct"/>
        <w:tblLayout w:type="fixed"/>
        <w:tblLook w:val="0020" w:firstRow="1" w:lastRow="0" w:firstColumn="0" w:lastColumn="0" w:noHBand="0" w:noVBand="0"/>
      </w:tblPr>
      <w:tblGrid>
        <w:gridCol w:w="2503"/>
        <w:gridCol w:w="2754"/>
        <w:gridCol w:w="2754"/>
        <w:gridCol w:w="2619"/>
      </w:tblGrid>
      <w:tr w:rsidR="00871B1E" w:rsidRPr="00454059" w14:paraId="45513686" w14:textId="77777777" w:rsidTr="00172E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4" w:type="dxa"/>
          </w:tcPr>
          <w:p w14:paraId="743CC016" w14:textId="77777777" w:rsidR="00871B1E" w:rsidRPr="00454059" w:rsidRDefault="00000000" w:rsidP="00454059">
            <w:pPr>
              <w:pStyle w:val="Compact"/>
              <w:jc w:val="both"/>
              <w:rPr>
                <w:rFonts w:ascii="Times New Roman" w:hAnsi="Times New Roman" w:cs="Times New Roman"/>
                <w:sz w:val="20"/>
                <w:szCs w:val="20"/>
              </w:rPr>
            </w:pPr>
            <w:r w:rsidRPr="00454059">
              <w:rPr>
                <w:rFonts w:ascii="Times New Roman" w:hAnsi="Times New Roman" w:cs="Times New Roman"/>
                <w:sz w:val="20"/>
                <w:szCs w:val="20"/>
              </w:rPr>
              <w:t>Dimension</w:t>
            </w:r>
          </w:p>
        </w:tc>
        <w:tc>
          <w:tcPr>
            <w:tcW w:w="2754" w:type="dxa"/>
          </w:tcPr>
          <w:p w14:paraId="59A20DB1" w14:textId="77777777" w:rsidR="00871B1E" w:rsidRPr="00454059" w:rsidRDefault="00000000" w:rsidP="00454059">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54059">
              <w:rPr>
                <w:rFonts w:ascii="Times New Roman" w:hAnsi="Times New Roman" w:cs="Times New Roman"/>
                <w:sz w:val="20"/>
                <w:szCs w:val="20"/>
              </w:rPr>
              <w:t>Original Plan</w:t>
            </w:r>
          </w:p>
        </w:tc>
        <w:tc>
          <w:tcPr>
            <w:cnfStyle w:val="000010000000" w:firstRow="0" w:lastRow="0" w:firstColumn="0" w:lastColumn="0" w:oddVBand="1" w:evenVBand="0" w:oddHBand="0" w:evenHBand="0" w:firstRowFirstColumn="0" w:firstRowLastColumn="0" w:lastRowFirstColumn="0" w:lastRowLastColumn="0"/>
            <w:tcW w:w="2754" w:type="dxa"/>
          </w:tcPr>
          <w:p w14:paraId="38F42953" w14:textId="77777777" w:rsidR="00871B1E" w:rsidRPr="00454059" w:rsidRDefault="00000000" w:rsidP="00454059">
            <w:pPr>
              <w:pStyle w:val="Compact"/>
              <w:jc w:val="both"/>
              <w:rPr>
                <w:rFonts w:ascii="Times New Roman" w:hAnsi="Times New Roman" w:cs="Times New Roman"/>
                <w:sz w:val="20"/>
                <w:szCs w:val="20"/>
              </w:rPr>
            </w:pPr>
            <w:r w:rsidRPr="00454059">
              <w:rPr>
                <w:rFonts w:ascii="Times New Roman" w:hAnsi="Times New Roman" w:cs="Times New Roman"/>
                <w:sz w:val="20"/>
                <w:szCs w:val="20"/>
              </w:rPr>
              <w:t>v0.1 Reality</w:t>
            </w:r>
          </w:p>
        </w:tc>
        <w:tc>
          <w:tcPr>
            <w:tcW w:w="2619" w:type="dxa"/>
          </w:tcPr>
          <w:p w14:paraId="09E22FD2" w14:textId="77777777" w:rsidR="00871B1E" w:rsidRPr="00454059" w:rsidRDefault="00000000" w:rsidP="00454059">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54059">
              <w:rPr>
                <w:rFonts w:ascii="Times New Roman" w:hAnsi="Times New Roman" w:cs="Times New Roman"/>
                <w:sz w:val="20"/>
                <w:szCs w:val="20"/>
              </w:rPr>
              <w:t>Reason</w:t>
            </w:r>
          </w:p>
        </w:tc>
      </w:tr>
      <w:tr w:rsidR="00871B1E" w:rsidRPr="00454059" w14:paraId="04F240C1" w14:textId="77777777" w:rsidTr="00172E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4" w:type="dxa"/>
          </w:tcPr>
          <w:p w14:paraId="57A5851A" w14:textId="77777777" w:rsidR="00871B1E" w:rsidRPr="00454059" w:rsidRDefault="00000000" w:rsidP="00454059">
            <w:pPr>
              <w:pStyle w:val="Compact"/>
              <w:jc w:val="both"/>
              <w:rPr>
                <w:rFonts w:ascii="Times New Roman" w:hAnsi="Times New Roman" w:cs="Times New Roman"/>
                <w:sz w:val="20"/>
                <w:szCs w:val="20"/>
              </w:rPr>
            </w:pPr>
            <w:r w:rsidRPr="00454059">
              <w:rPr>
                <w:rFonts w:ascii="Times New Roman" w:hAnsi="Times New Roman" w:cs="Times New Roman"/>
                <w:sz w:val="20"/>
                <w:szCs w:val="20"/>
              </w:rPr>
              <w:t>Companies</w:t>
            </w:r>
          </w:p>
        </w:tc>
        <w:tc>
          <w:tcPr>
            <w:tcW w:w="2754" w:type="dxa"/>
          </w:tcPr>
          <w:p w14:paraId="03F008CC" w14:textId="77777777" w:rsidR="00871B1E" w:rsidRPr="00454059" w:rsidRDefault="00000000" w:rsidP="00454059">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54059">
              <w:rPr>
                <w:rFonts w:ascii="Times New Roman" w:hAnsi="Times New Roman" w:cs="Times New Roman"/>
                <w:sz w:val="20"/>
                <w:szCs w:val="20"/>
              </w:rPr>
              <w:t>30</w:t>
            </w:r>
          </w:p>
        </w:tc>
        <w:tc>
          <w:tcPr>
            <w:cnfStyle w:val="000010000000" w:firstRow="0" w:lastRow="0" w:firstColumn="0" w:lastColumn="0" w:oddVBand="1" w:evenVBand="0" w:oddHBand="0" w:evenHBand="0" w:firstRowFirstColumn="0" w:firstRowLastColumn="0" w:lastRowFirstColumn="0" w:lastRowLastColumn="0"/>
            <w:tcW w:w="2754" w:type="dxa"/>
          </w:tcPr>
          <w:p w14:paraId="2A8E1F20" w14:textId="77777777" w:rsidR="00871B1E" w:rsidRPr="00454059" w:rsidRDefault="00000000" w:rsidP="00454059">
            <w:pPr>
              <w:pStyle w:val="Compact"/>
              <w:jc w:val="both"/>
              <w:rPr>
                <w:rFonts w:ascii="Times New Roman" w:hAnsi="Times New Roman" w:cs="Times New Roman"/>
                <w:sz w:val="20"/>
                <w:szCs w:val="20"/>
              </w:rPr>
            </w:pPr>
            <w:r w:rsidRPr="00454059">
              <w:rPr>
                <w:rFonts w:ascii="Times New Roman" w:hAnsi="Times New Roman" w:cs="Times New Roman"/>
                <w:sz w:val="20"/>
                <w:szCs w:val="20"/>
              </w:rPr>
              <w:t>50</w:t>
            </w:r>
          </w:p>
        </w:tc>
        <w:tc>
          <w:tcPr>
            <w:tcW w:w="2619" w:type="dxa"/>
          </w:tcPr>
          <w:p w14:paraId="294CDE20" w14:textId="77777777" w:rsidR="00871B1E" w:rsidRPr="00454059" w:rsidRDefault="00000000" w:rsidP="00454059">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54059">
              <w:rPr>
                <w:rFonts w:ascii="Times New Roman" w:hAnsi="Times New Roman" w:cs="Times New Roman"/>
                <w:sz w:val="20"/>
                <w:szCs w:val="20"/>
              </w:rPr>
              <w:t>Larger coverage strengthens sector-level comparison</w:t>
            </w:r>
          </w:p>
        </w:tc>
      </w:tr>
      <w:tr w:rsidR="00871B1E" w:rsidRPr="00454059" w14:paraId="71D9D68D" w14:textId="77777777" w:rsidTr="00172EB6">
        <w:tc>
          <w:tcPr>
            <w:cnfStyle w:val="000010000000" w:firstRow="0" w:lastRow="0" w:firstColumn="0" w:lastColumn="0" w:oddVBand="1" w:evenVBand="0" w:oddHBand="0" w:evenHBand="0" w:firstRowFirstColumn="0" w:firstRowLastColumn="0" w:lastRowFirstColumn="0" w:lastRowLastColumn="0"/>
            <w:tcW w:w="2504" w:type="dxa"/>
          </w:tcPr>
          <w:p w14:paraId="5CAAD865" w14:textId="77777777" w:rsidR="00871B1E" w:rsidRPr="00454059" w:rsidRDefault="00000000" w:rsidP="00454059">
            <w:pPr>
              <w:pStyle w:val="Compact"/>
              <w:jc w:val="both"/>
              <w:rPr>
                <w:rFonts w:ascii="Times New Roman" w:hAnsi="Times New Roman" w:cs="Times New Roman"/>
                <w:sz w:val="20"/>
                <w:szCs w:val="20"/>
              </w:rPr>
            </w:pPr>
            <w:r w:rsidRPr="00454059">
              <w:rPr>
                <w:rFonts w:ascii="Times New Roman" w:hAnsi="Times New Roman" w:cs="Times New Roman"/>
                <w:sz w:val="20"/>
                <w:szCs w:val="20"/>
              </w:rPr>
              <w:t>Filing types</w:t>
            </w:r>
          </w:p>
        </w:tc>
        <w:tc>
          <w:tcPr>
            <w:tcW w:w="2754" w:type="dxa"/>
          </w:tcPr>
          <w:p w14:paraId="213C81F2" w14:textId="77777777" w:rsidR="00871B1E" w:rsidRPr="00454059" w:rsidRDefault="00000000" w:rsidP="00454059">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54059">
              <w:rPr>
                <w:rFonts w:ascii="Times New Roman" w:hAnsi="Times New Roman" w:cs="Times New Roman"/>
                <w:sz w:val="20"/>
                <w:szCs w:val="20"/>
              </w:rPr>
              <w:t>10-K + 10-Q</w:t>
            </w:r>
          </w:p>
        </w:tc>
        <w:tc>
          <w:tcPr>
            <w:cnfStyle w:val="000010000000" w:firstRow="0" w:lastRow="0" w:firstColumn="0" w:lastColumn="0" w:oddVBand="1" w:evenVBand="0" w:oddHBand="0" w:evenHBand="0" w:firstRowFirstColumn="0" w:firstRowLastColumn="0" w:lastRowFirstColumn="0" w:lastRowLastColumn="0"/>
            <w:tcW w:w="2754" w:type="dxa"/>
          </w:tcPr>
          <w:p w14:paraId="2951DFEE" w14:textId="77777777" w:rsidR="00871B1E" w:rsidRPr="00454059" w:rsidRDefault="00000000" w:rsidP="00454059">
            <w:pPr>
              <w:pStyle w:val="Compact"/>
              <w:jc w:val="both"/>
              <w:rPr>
                <w:rFonts w:ascii="Times New Roman" w:hAnsi="Times New Roman" w:cs="Times New Roman"/>
                <w:sz w:val="20"/>
                <w:szCs w:val="20"/>
              </w:rPr>
            </w:pPr>
            <w:r w:rsidRPr="00454059">
              <w:rPr>
                <w:rFonts w:ascii="Times New Roman" w:hAnsi="Times New Roman" w:cs="Times New Roman"/>
                <w:sz w:val="20"/>
                <w:szCs w:val="20"/>
              </w:rPr>
              <w:t>10-K only</w:t>
            </w:r>
          </w:p>
        </w:tc>
        <w:tc>
          <w:tcPr>
            <w:tcW w:w="2619" w:type="dxa"/>
          </w:tcPr>
          <w:p w14:paraId="45087E15" w14:textId="77777777" w:rsidR="00871B1E" w:rsidRPr="00454059" w:rsidRDefault="00000000" w:rsidP="00454059">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54059">
              <w:rPr>
                <w:rFonts w:ascii="Times New Roman" w:hAnsi="Times New Roman" w:cs="Times New Roman"/>
                <w:sz w:val="20"/>
                <w:szCs w:val="20"/>
              </w:rPr>
              <w:t>Scoped down to develop methodology against 10-K complexity first</w:t>
            </w:r>
          </w:p>
        </w:tc>
      </w:tr>
      <w:tr w:rsidR="00871B1E" w:rsidRPr="00454059" w14:paraId="5B9F7BC4" w14:textId="77777777" w:rsidTr="00172E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4" w:type="dxa"/>
          </w:tcPr>
          <w:p w14:paraId="4D08C0C7" w14:textId="77777777" w:rsidR="00871B1E" w:rsidRPr="00454059" w:rsidRDefault="00000000" w:rsidP="00454059">
            <w:pPr>
              <w:pStyle w:val="Compact"/>
              <w:jc w:val="both"/>
              <w:rPr>
                <w:rFonts w:ascii="Times New Roman" w:hAnsi="Times New Roman" w:cs="Times New Roman"/>
                <w:sz w:val="20"/>
                <w:szCs w:val="20"/>
              </w:rPr>
            </w:pPr>
            <w:r w:rsidRPr="00454059">
              <w:rPr>
                <w:rFonts w:ascii="Times New Roman" w:hAnsi="Times New Roman" w:cs="Times New Roman"/>
                <w:sz w:val="20"/>
                <w:szCs w:val="20"/>
              </w:rPr>
              <w:t>Years</w:t>
            </w:r>
          </w:p>
        </w:tc>
        <w:tc>
          <w:tcPr>
            <w:tcW w:w="2754" w:type="dxa"/>
          </w:tcPr>
          <w:p w14:paraId="63D87F29" w14:textId="77777777" w:rsidR="00871B1E" w:rsidRPr="00454059" w:rsidRDefault="00000000" w:rsidP="00454059">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54059">
              <w:rPr>
                <w:rFonts w:ascii="Times New Roman" w:hAnsi="Times New Roman" w:cs="Times New Roman"/>
                <w:sz w:val="20"/>
                <w:szCs w:val="20"/>
              </w:rPr>
              <w:t>3 (2022–2024)</w:t>
            </w:r>
          </w:p>
        </w:tc>
        <w:tc>
          <w:tcPr>
            <w:cnfStyle w:val="000010000000" w:firstRow="0" w:lastRow="0" w:firstColumn="0" w:lastColumn="0" w:oddVBand="1" w:evenVBand="0" w:oddHBand="0" w:evenHBand="0" w:firstRowFirstColumn="0" w:firstRowLastColumn="0" w:lastRowFirstColumn="0" w:lastRowLastColumn="0"/>
            <w:tcW w:w="2754" w:type="dxa"/>
          </w:tcPr>
          <w:p w14:paraId="0393452E" w14:textId="77777777" w:rsidR="00871B1E" w:rsidRPr="00454059" w:rsidRDefault="00000000" w:rsidP="00454059">
            <w:pPr>
              <w:pStyle w:val="Compact"/>
              <w:jc w:val="both"/>
              <w:rPr>
                <w:rFonts w:ascii="Times New Roman" w:hAnsi="Times New Roman" w:cs="Times New Roman"/>
                <w:sz w:val="20"/>
                <w:szCs w:val="20"/>
              </w:rPr>
            </w:pPr>
            <w:r w:rsidRPr="00454059">
              <w:rPr>
                <w:rFonts w:ascii="Times New Roman" w:hAnsi="Times New Roman" w:cs="Times New Roman"/>
                <w:sz w:val="20"/>
                <w:szCs w:val="20"/>
              </w:rPr>
              <w:t>4 (2022–2026 filing dates)</w:t>
            </w:r>
          </w:p>
        </w:tc>
        <w:tc>
          <w:tcPr>
            <w:tcW w:w="2619" w:type="dxa"/>
          </w:tcPr>
          <w:p w14:paraId="43D19DCC" w14:textId="77777777" w:rsidR="00871B1E" w:rsidRPr="00454059" w:rsidRDefault="00000000" w:rsidP="00454059">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54059">
              <w:rPr>
                <w:rFonts w:ascii="Times New Roman" w:hAnsi="Times New Roman" w:cs="Times New Roman"/>
                <w:sz w:val="20"/>
                <w:szCs w:val="20"/>
              </w:rPr>
              <w:t>Natural index for EDGAR</w:t>
            </w:r>
          </w:p>
        </w:tc>
      </w:tr>
      <w:tr w:rsidR="00871B1E" w:rsidRPr="00454059" w14:paraId="36617675" w14:textId="77777777" w:rsidTr="00172EB6">
        <w:tc>
          <w:tcPr>
            <w:cnfStyle w:val="000010000000" w:firstRow="0" w:lastRow="0" w:firstColumn="0" w:lastColumn="0" w:oddVBand="1" w:evenVBand="0" w:oddHBand="0" w:evenHBand="0" w:firstRowFirstColumn="0" w:firstRowLastColumn="0" w:lastRowFirstColumn="0" w:lastRowLastColumn="0"/>
            <w:tcW w:w="2504" w:type="dxa"/>
          </w:tcPr>
          <w:p w14:paraId="105BF42F" w14:textId="77777777" w:rsidR="00871B1E" w:rsidRPr="00454059" w:rsidRDefault="00000000" w:rsidP="00454059">
            <w:pPr>
              <w:pStyle w:val="Compact"/>
              <w:jc w:val="both"/>
              <w:rPr>
                <w:rFonts w:ascii="Times New Roman" w:hAnsi="Times New Roman" w:cs="Times New Roman"/>
                <w:sz w:val="20"/>
                <w:szCs w:val="20"/>
              </w:rPr>
            </w:pPr>
            <w:r w:rsidRPr="00454059">
              <w:rPr>
                <w:rFonts w:ascii="Times New Roman" w:hAnsi="Times New Roman" w:cs="Times New Roman"/>
                <w:sz w:val="20"/>
                <w:szCs w:val="20"/>
              </w:rPr>
              <w:t>Filings target</w:t>
            </w:r>
          </w:p>
        </w:tc>
        <w:tc>
          <w:tcPr>
            <w:tcW w:w="2754" w:type="dxa"/>
          </w:tcPr>
          <w:p w14:paraId="32B36AB8" w14:textId="77777777" w:rsidR="00871B1E" w:rsidRPr="00454059" w:rsidRDefault="00000000" w:rsidP="00454059">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54059">
              <w:rPr>
                <w:rFonts w:ascii="Times New Roman" w:hAnsi="Times New Roman" w:cs="Times New Roman"/>
                <w:sz w:val="20"/>
                <w:szCs w:val="20"/>
              </w:rPr>
              <w:t>360–450</w:t>
            </w:r>
          </w:p>
        </w:tc>
        <w:tc>
          <w:tcPr>
            <w:cnfStyle w:val="000010000000" w:firstRow="0" w:lastRow="0" w:firstColumn="0" w:lastColumn="0" w:oddVBand="1" w:evenVBand="0" w:oddHBand="0" w:evenHBand="0" w:firstRowFirstColumn="0" w:firstRowLastColumn="0" w:lastRowFirstColumn="0" w:lastRowLastColumn="0"/>
            <w:tcW w:w="2754" w:type="dxa"/>
          </w:tcPr>
          <w:p w14:paraId="2811DECD" w14:textId="77777777" w:rsidR="00871B1E" w:rsidRPr="00454059" w:rsidRDefault="00000000" w:rsidP="00454059">
            <w:pPr>
              <w:pStyle w:val="Compact"/>
              <w:jc w:val="both"/>
              <w:rPr>
                <w:rFonts w:ascii="Times New Roman" w:hAnsi="Times New Roman" w:cs="Times New Roman"/>
                <w:sz w:val="20"/>
                <w:szCs w:val="20"/>
              </w:rPr>
            </w:pPr>
            <w:r w:rsidRPr="00454059">
              <w:rPr>
                <w:rFonts w:ascii="Times New Roman" w:hAnsi="Times New Roman" w:cs="Times New Roman"/>
                <w:sz w:val="20"/>
                <w:szCs w:val="20"/>
              </w:rPr>
              <w:t>198</w:t>
            </w:r>
          </w:p>
        </w:tc>
        <w:tc>
          <w:tcPr>
            <w:tcW w:w="2619" w:type="dxa"/>
          </w:tcPr>
          <w:p w14:paraId="509D1CAA" w14:textId="77777777" w:rsidR="00871B1E" w:rsidRPr="00454059" w:rsidRDefault="00000000" w:rsidP="00454059">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54059">
              <w:rPr>
                <w:rFonts w:ascii="Times New Roman" w:hAnsi="Times New Roman" w:cs="Times New Roman"/>
                <w:sz w:val="20"/>
                <w:szCs w:val="20"/>
              </w:rPr>
              <w:t>10-K-only and per-company calendar variation reduce count</w:t>
            </w:r>
          </w:p>
        </w:tc>
      </w:tr>
      <w:tr w:rsidR="00871B1E" w:rsidRPr="00454059" w14:paraId="61958F10" w14:textId="77777777" w:rsidTr="00172E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504" w:type="dxa"/>
          </w:tcPr>
          <w:p w14:paraId="540A3208" w14:textId="77777777" w:rsidR="00871B1E" w:rsidRPr="00454059" w:rsidRDefault="00000000" w:rsidP="00454059">
            <w:pPr>
              <w:pStyle w:val="Compact"/>
              <w:jc w:val="both"/>
              <w:rPr>
                <w:rFonts w:ascii="Times New Roman" w:hAnsi="Times New Roman" w:cs="Times New Roman"/>
                <w:sz w:val="20"/>
                <w:szCs w:val="20"/>
              </w:rPr>
            </w:pPr>
            <w:r w:rsidRPr="00454059">
              <w:rPr>
                <w:rFonts w:ascii="Times New Roman" w:hAnsi="Times New Roman" w:cs="Times New Roman"/>
                <w:sz w:val="20"/>
                <w:szCs w:val="20"/>
              </w:rPr>
              <w:t>Chunking strategies</w:t>
            </w:r>
          </w:p>
        </w:tc>
        <w:tc>
          <w:tcPr>
            <w:tcW w:w="2754" w:type="dxa"/>
          </w:tcPr>
          <w:p w14:paraId="262E3A58" w14:textId="77777777" w:rsidR="00871B1E" w:rsidRPr="00454059" w:rsidRDefault="00000000" w:rsidP="00454059">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54059">
              <w:rPr>
                <w:rFonts w:ascii="Times New Roman" w:hAnsi="Times New Roman" w:cs="Times New Roman"/>
                <w:sz w:val="20"/>
                <w:szCs w:val="20"/>
              </w:rPr>
              <w:t>2 (fixed-size, section-aware)</w:t>
            </w:r>
          </w:p>
        </w:tc>
        <w:tc>
          <w:tcPr>
            <w:cnfStyle w:val="000010000000" w:firstRow="0" w:lastRow="0" w:firstColumn="0" w:lastColumn="0" w:oddVBand="1" w:evenVBand="0" w:oddHBand="0" w:evenHBand="0" w:firstRowFirstColumn="0" w:firstRowLastColumn="0" w:lastRowFirstColumn="0" w:lastRowLastColumn="0"/>
            <w:tcW w:w="2754" w:type="dxa"/>
          </w:tcPr>
          <w:p w14:paraId="568108DA" w14:textId="77777777" w:rsidR="00871B1E" w:rsidRPr="00454059" w:rsidRDefault="00000000" w:rsidP="00454059">
            <w:pPr>
              <w:pStyle w:val="Compact"/>
              <w:jc w:val="both"/>
              <w:rPr>
                <w:rFonts w:ascii="Times New Roman" w:hAnsi="Times New Roman" w:cs="Times New Roman"/>
                <w:sz w:val="20"/>
                <w:szCs w:val="20"/>
              </w:rPr>
            </w:pPr>
            <w:r w:rsidRPr="00454059">
              <w:rPr>
                <w:rFonts w:ascii="Times New Roman" w:hAnsi="Times New Roman" w:cs="Times New Roman"/>
                <w:sz w:val="20"/>
                <w:szCs w:val="20"/>
              </w:rPr>
              <w:t>3 tiers (added a middle category)</w:t>
            </w:r>
          </w:p>
        </w:tc>
        <w:tc>
          <w:tcPr>
            <w:tcW w:w="2619" w:type="dxa"/>
          </w:tcPr>
          <w:p w14:paraId="2F3D6698" w14:textId="77777777" w:rsidR="00871B1E" w:rsidRPr="00454059" w:rsidRDefault="00000000" w:rsidP="00454059">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454059">
              <w:rPr>
                <w:rFonts w:ascii="Times New Roman" w:hAnsi="Times New Roman" w:cs="Times New Roman"/>
                <w:sz w:val="20"/>
                <w:szCs w:val="20"/>
              </w:rPr>
              <w:t>Empirical observation forced a refinement (Section 2)</w:t>
            </w:r>
          </w:p>
        </w:tc>
      </w:tr>
      <w:tr w:rsidR="00871B1E" w:rsidRPr="00454059" w14:paraId="2A2150B7" w14:textId="77777777" w:rsidTr="00172EB6">
        <w:tc>
          <w:tcPr>
            <w:cnfStyle w:val="000010000000" w:firstRow="0" w:lastRow="0" w:firstColumn="0" w:lastColumn="0" w:oddVBand="1" w:evenVBand="0" w:oddHBand="0" w:evenHBand="0" w:firstRowFirstColumn="0" w:firstRowLastColumn="0" w:lastRowFirstColumn="0" w:lastRowLastColumn="0"/>
            <w:tcW w:w="2504" w:type="dxa"/>
          </w:tcPr>
          <w:p w14:paraId="419E3B58" w14:textId="77777777" w:rsidR="00871B1E" w:rsidRPr="00454059" w:rsidRDefault="00000000" w:rsidP="00454059">
            <w:pPr>
              <w:pStyle w:val="Compact"/>
              <w:jc w:val="both"/>
              <w:rPr>
                <w:rFonts w:ascii="Times New Roman" w:hAnsi="Times New Roman" w:cs="Times New Roman"/>
                <w:sz w:val="20"/>
                <w:szCs w:val="20"/>
              </w:rPr>
            </w:pPr>
            <w:r w:rsidRPr="00454059">
              <w:rPr>
                <w:rFonts w:ascii="Times New Roman" w:hAnsi="Times New Roman" w:cs="Times New Roman"/>
                <w:sz w:val="20"/>
                <w:szCs w:val="20"/>
              </w:rPr>
              <w:t>QA pairs target</w:t>
            </w:r>
          </w:p>
        </w:tc>
        <w:tc>
          <w:tcPr>
            <w:tcW w:w="2754" w:type="dxa"/>
          </w:tcPr>
          <w:p w14:paraId="6E577356" w14:textId="77777777" w:rsidR="00871B1E" w:rsidRPr="00454059" w:rsidRDefault="00000000" w:rsidP="00454059">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54059">
              <w:rPr>
                <w:rFonts w:ascii="Times New Roman" w:hAnsi="Times New Roman" w:cs="Times New Roman"/>
                <w:sz w:val="20"/>
                <w:szCs w:val="20"/>
              </w:rPr>
              <w:t>~100</w:t>
            </w:r>
          </w:p>
        </w:tc>
        <w:tc>
          <w:tcPr>
            <w:cnfStyle w:val="000010000000" w:firstRow="0" w:lastRow="0" w:firstColumn="0" w:lastColumn="0" w:oddVBand="1" w:evenVBand="0" w:oddHBand="0" w:evenHBand="0" w:firstRowFirstColumn="0" w:firstRowLastColumn="0" w:lastRowFirstColumn="0" w:lastRowLastColumn="0"/>
            <w:tcW w:w="2754" w:type="dxa"/>
          </w:tcPr>
          <w:p w14:paraId="2BF09850" w14:textId="77777777" w:rsidR="00871B1E" w:rsidRPr="00454059" w:rsidRDefault="00000000" w:rsidP="00454059">
            <w:pPr>
              <w:pStyle w:val="Compact"/>
              <w:jc w:val="both"/>
              <w:rPr>
                <w:rFonts w:ascii="Times New Roman" w:hAnsi="Times New Roman" w:cs="Times New Roman"/>
                <w:sz w:val="20"/>
                <w:szCs w:val="20"/>
              </w:rPr>
            </w:pPr>
            <w:r w:rsidRPr="00454059">
              <w:rPr>
                <w:rFonts w:ascii="Times New Roman" w:hAnsi="Times New Roman" w:cs="Times New Roman"/>
                <w:sz w:val="20"/>
                <w:szCs w:val="20"/>
              </w:rPr>
              <w:t>10 calibration pairs</w:t>
            </w:r>
          </w:p>
        </w:tc>
        <w:tc>
          <w:tcPr>
            <w:tcW w:w="2619" w:type="dxa"/>
          </w:tcPr>
          <w:p w14:paraId="48100875" w14:textId="5E3A155E" w:rsidR="00871B1E" w:rsidRPr="00454059" w:rsidRDefault="00000000" w:rsidP="00454059">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454059">
              <w:rPr>
                <w:rFonts w:ascii="Times New Roman" w:hAnsi="Times New Roman" w:cs="Times New Roman"/>
                <w:sz w:val="20"/>
                <w:szCs w:val="20"/>
              </w:rPr>
              <w:t>Walked back ambitious target  see Section 5</w:t>
            </w:r>
          </w:p>
        </w:tc>
      </w:tr>
    </w:tbl>
    <w:p w14:paraId="4AE40CAC" w14:textId="78BCFBD3" w:rsidR="00871B1E" w:rsidRPr="00C031F5" w:rsidRDefault="00000000" w:rsidP="00C031F5">
      <w:pPr>
        <w:pStyle w:val="BodyText"/>
        <w:jc w:val="both"/>
        <w:rPr>
          <w:rFonts w:ascii="Times New Roman" w:hAnsi="Times New Roman" w:cs="Times New Roman"/>
          <w:sz w:val="20"/>
          <w:szCs w:val="20"/>
        </w:rPr>
      </w:pPr>
      <w:r w:rsidRPr="00454059">
        <w:rPr>
          <w:rFonts w:ascii="Times New Roman" w:hAnsi="Times New Roman" w:cs="Times New Roman"/>
          <w:sz w:val="20"/>
          <w:szCs w:val="20"/>
        </w:rPr>
        <w:t>The QA target deserves explicit mention. After building 10 verified evidence-grounded pairs, we concluded that hand-curating 100 such pairs at quality was not realistic in the project timeline. We have restructured the QA workstream into a phased plan that prioritizes verified evidence over raw count.</w:t>
      </w:r>
    </w:p>
    <w:p w14:paraId="29C7108E" w14:textId="77777777" w:rsidR="00871B1E" w:rsidRPr="00454059" w:rsidRDefault="00000000" w:rsidP="00454059">
      <w:pPr>
        <w:pStyle w:val="Heading2"/>
        <w:jc w:val="both"/>
        <w:rPr>
          <w:rFonts w:ascii="Times New Roman" w:hAnsi="Times New Roman" w:cs="Times New Roman"/>
          <w:sz w:val="24"/>
          <w:szCs w:val="24"/>
        </w:rPr>
      </w:pPr>
      <w:bookmarkStart w:id="3" w:name="data-quality-assessment"/>
      <w:bookmarkEnd w:id="1"/>
      <w:bookmarkEnd w:id="2"/>
      <w:r w:rsidRPr="00454059">
        <w:rPr>
          <w:rFonts w:ascii="Times New Roman" w:hAnsi="Times New Roman" w:cs="Times New Roman"/>
          <w:sz w:val="24"/>
          <w:szCs w:val="24"/>
        </w:rPr>
        <w:t>2. Data Quality Assessment</w:t>
      </w:r>
    </w:p>
    <w:p w14:paraId="54D2EAE8" w14:textId="7552A883" w:rsidR="00871B1E" w:rsidRPr="00454059" w:rsidRDefault="00000000" w:rsidP="00454059">
      <w:pPr>
        <w:pStyle w:val="FirstParagraph"/>
        <w:jc w:val="both"/>
        <w:rPr>
          <w:rFonts w:ascii="Times New Roman" w:hAnsi="Times New Roman" w:cs="Times New Roman"/>
          <w:sz w:val="20"/>
          <w:szCs w:val="20"/>
        </w:rPr>
      </w:pPr>
      <w:r w:rsidRPr="00454059">
        <w:rPr>
          <w:rFonts w:ascii="Times New Roman" w:hAnsi="Times New Roman" w:cs="Times New Roman"/>
          <w:sz w:val="20"/>
          <w:szCs w:val="20"/>
        </w:rPr>
        <w:t>For an analyst-facing retrieval system, the question is not whether documents downloaded  it is whether the corpus can reliably support the kinds of questions analysts actually ask. We assessed four quality dimensions:</w:t>
      </w:r>
    </w:p>
    <w:p w14:paraId="3A8A9F86" w14:textId="7F17A2F8" w:rsidR="00871B1E" w:rsidRPr="00454059" w:rsidRDefault="00000000" w:rsidP="00454059">
      <w:pPr>
        <w:pStyle w:val="BodyText"/>
        <w:jc w:val="both"/>
        <w:rPr>
          <w:rFonts w:ascii="Times New Roman" w:hAnsi="Times New Roman" w:cs="Times New Roman"/>
          <w:sz w:val="20"/>
          <w:szCs w:val="20"/>
        </w:rPr>
      </w:pPr>
      <w:r w:rsidRPr="00C031F5">
        <w:rPr>
          <w:rFonts w:ascii="Times New Roman" w:hAnsi="Times New Roman" w:cs="Times New Roman"/>
          <w:b/>
          <w:bCs/>
          <w:sz w:val="22"/>
          <w:szCs w:val="22"/>
        </w:rPr>
        <w:t>Completeness.</w:t>
      </w:r>
      <w:r w:rsidRPr="00454059">
        <w:rPr>
          <w:rFonts w:ascii="Times New Roman" w:hAnsi="Times New Roman" w:cs="Times New Roman"/>
          <w:sz w:val="20"/>
          <w:szCs w:val="20"/>
        </w:rPr>
        <w:t xml:space="preserve"> All 198 filings downloaded successfully. The more important completeness question is structural: do filings parse into the SEC-defined Items (Item 1 Business, Item 1A Risk Factors, Item 7 MD&amp;A, Item 8 Financial Statements, etc.) needed for targeted retrieval? Initial parsing showed about 80% of filings parsing cleanly into all major Items, with the remaining 20% landing in a fallback bucket. Closer inspection showed this binary view was hiding meaningful structure: a middle category of filings whose sections detect with non-fatal anomalies. We split the corpus into three tiers  </w:t>
      </w:r>
      <w:r w:rsidRPr="00C031F5">
        <w:rPr>
          <w:rFonts w:ascii="Times New Roman" w:hAnsi="Times New Roman" w:cs="Times New Roman"/>
          <w:b/>
          <w:bCs/>
          <w:sz w:val="22"/>
          <w:szCs w:val="22"/>
        </w:rPr>
        <w:t>section-aware</w:t>
      </w:r>
      <w:r w:rsidRPr="00454059">
        <w:rPr>
          <w:rFonts w:ascii="Times New Roman" w:hAnsi="Times New Roman" w:cs="Times New Roman"/>
          <w:sz w:val="20"/>
          <w:szCs w:val="20"/>
        </w:rPr>
        <w:t xml:space="preserve"> (clean parse, 163 filings, 82.3%), </w:t>
      </w:r>
      <w:r w:rsidRPr="00C031F5">
        <w:rPr>
          <w:rFonts w:ascii="Times New Roman" w:hAnsi="Times New Roman" w:cs="Times New Roman"/>
          <w:b/>
          <w:bCs/>
          <w:sz w:val="22"/>
          <w:szCs w:val="22"/>
        </w:rPr>
        <w:t>hybrid section-aware</w:t>
      </w:r>
      <w:r w:rsidRPr="00454059">
        <w:rPr>
          <w:rFonts w:ascii="Times New Roman" w:hAnsi="Times New Roman" w:cs="Times New Roman"/>
          <w:sz w:val="20"/>
          <w:szCs w:val="20"/>
        </w:rPr>
        <w:t xml:space="preserve"> (sections detect but with anomalies the relaxed rule admits, 23 filings, 11.6%), and </w:t>
      </w:r>
      <w:r w:rsidRPr="00C031F5">
        <w:rPr>
          <w:rFonts w:ascii="Times New Roman" w:hAnsi="Times New Roman" w:cs="Times New Roman"/>
          <w:b/>
          <w:bCs/>
          <w:sz w:val="22"/>
          <w:szCs w:val="22"/>
        </w:rPr>
        <w:t>fixed-size fallback</w:t>
      </w:r>
      <w:r w:rsidRPr="00454059">
        <w:rPr>
          <w:rFonts w:ascii="Times New Roman" w:hAnsi="Times New Roman" w:cs="Times New Roman"/>
          <w:sz w:val="20"/>
          <w:szCs w:val="20"/>
        </w:rPr>
        <w:t xml:space="preserve"> (12 filings, 6.1%). Combined usable coverage is </w:t>
      </w:r>
      <w:r w:rsidRPr="00C031F5">
        <w:rPr>
          <w:rFonts w:ascii="Times New Roman" w:hAnsi="Times New Roman" w:cs="Times New Roman"/>
          <w:b/>
          <w:bCs/>
          <w:sz w:val="22"/>
          <w:szCs w:val="22"/>
        </w:rPr>
        <w:t>93.9% of the corpus</w:t>
      </w:r>
      <w:r w:rsidRPr="00454059">
        <w:rPr>
          <w:rFonts w:ascii="Times New Roman" w:hAnsi="Times New Roman" w:cs="Times New Roman"/>
          <w:sz w:val="20"/>
          <w:szCs w:val="20"/>
        </w:rPr>
        <w:t>, a meaningful gain over the 80% baseline.</w:t>
      </w:r>
    </w:p>
    <w:p w14:paraId="731697F7" w14:textId="77777777" w:rsidR="00871B1E" w:rsidRPr="00454059" w:rsidRDefault="00000000" w:rsidP="00454059">
      <w:pPr>
        <w:pStyle w:val="BodyText"/>
        <w:jc w:val="both"/>
        <w:rPr>
          <w:rFonts w:ascii="Times New Roman" w:hAnsi="Times New Roman" w:cs="Times New Roman"/>
          <w:sz w:val="20"/>
          <w:szCs w:val="20"/>
        </w:rPr>
      </w:pPr>
      <w:r w:rsidRPr="00C031F5">
        <w:rPr>
          <w:rFonts w:ascii="Times New Roman" w:hAnsi="Times New Roman" w:cs="Times New Roman"/>
          <w:b/>
          <w:bCs/>
          <w:sz w:val="22"/>
          <w:szCs w:val="22"/>
        </w:rPr>
        <w:t>Accuracy.</w:t>
      </w:r>
      <w:r w:rsidRPr="00454059">
        <w:rPr>
          <w:rFonts w:ascii="Times New Roman" w:hAnsi="Times New Roman" w:cs="Times New Roman"/>
          <w:sz w:val="20"/>
          <w:szCs w:val="20"/>
        </w:rPr>
        <w:t xml:space="preserve"> Two issues surfaced. First, modern 10-Ks contain inline XBRL tags that contaminate the first several thousand characters of every filing with technical markup; we patched the extraction path to strip these elements and verified the fix on 20 spot-checked filings. Second, we confirmed section detection works as labeled by comparing Item 7 (MD&amp;A) content across the three tiers: clean filings show robust Item 7 content (median ~67,000 characters); hybrid-tier filings show partial detection (~300 characters); fallback-tier filings have none. The tier classification reflects real structural differences, not arbitrary labels.</w:t>
      </w:r>
    </w:p>
    <w:p w14:paraId="44D0D917" w14:textId="48D40E30" w:rsidR="00871B1E" w:rsidRPr="00454059" w:rsidRDefault="00000000" w:rsidP="00454059">
      <w:pPr>
        <w:pStyle w:val="BodyText"/>
        <w:jc w:val="both"/>
        <w:rPr>
          <w:rFonts w:ascii="Times New Roman" w:hAnsi="Times New Roman" w:cs="Times New Roman"/>
          <w:sz w:val="20"/>
          <w:szCs w:val="20"/>
        </w:rPr>
      </w:pPr>
      <w:r w:rsidRPr="00C031F5">
        <w:rPr>
          <w:rFonts w:ascii="Times New Roman" w:hAnsi="Times New Roman" w:cs="Times New Roman"/>
          <w:b/>
          <w:bCs/>
          <w:sz w:val="22"/>
          <w:szCs w:val="22"/>
        </w:rPr>
        <w:lastRenderedPageBreak/>
        <w:t>Consistency.</w:t>
      </w:r>
      <w:r w:rsidRPr="00454059">
        <w:rPr>
          <w:rFonts w:ascii="Times New Roman" w:hAnsi="Times New Roman" w:cs="Times New Roman"/>
          <w:sz w:val="20"/>
          <w:szCs w:val="20"/>
        </w:rPr>
        <w:t xml:space="preserve"> Rather than treat non-clean filings as a generic fallback, we characterized them by root cause. Twelve filings have non-standard formats (MS, C, INTC); eight rely on incorporation-by-reference (IBM, WFC); eight show dominant-section parser failures (JPM, USB); seven have Item 7-specific parser limitations (MSFT, BAC); and eight are recoveries  filings whose large Item 8 sections are legitimate document content rather than parser artifacts (MET, PRU, other insurers). This taxonomy turns a 6.1% data-quality problem into a 6.1% characterized edge-case set, with concrete guidance for which filings support which question types.</w:t>
      </w:r>
    </w:p>
    <w:p w14:paraId="1B2512A9" w14:textId="77777777" w:rsidR="00871B1E" w:rsidRPr="00454059" w:rsidRDefault="00000000" w:rsidP="00454059">
      <w:pPr>
        <w:pStyle w:val="BodyText"/>
        <w:jc w:val="both"/>
        <w:rPr>
          <w:rFonts w:ascii="Times New Roman" w:hAnsi="Times New Roman" w:cs="Times New Roman"/>
          <w:sz w:val="20"/>
          <w:szCs w:val="20"/>
        </w:rPr>
      </w:pPr>
      <w:r w:rsidRPr="00C031F5">
        <w:rPr>
          <w:rFonts w:ascii="Times New Roman" w:hAnsi="Times New Roman" w:cs="Times New Roman"/>
          <w:b/>
          <w:bCs/>
          <w:sz w:val="22"/>
          <w:szCs w:val="22"/>
        </w:rPr>
        <w:t>Timeliness.</w:t>
      </w:r>
      <w:r w:rsidRPr="00454059">
        <w:rPr>
          <w:rFonts w:ascii="Times New Roman" w:hAnsi="Times New Roman" w:cs="Times New Roman"/>
          <w:sz w:val="20"/>
          <w:szCs w:val="20"/>
        </w:rPr>
        <w:t xml:space="preserve"> Filings span 2022–2026 with approximately even distribution across 2022–2025 and FY2026 still rolling in. One temporal anomaly is worth flagging: Item 1C (Cybersecurity) appears in only 132/198 filings because it became an SEC requirement for fiscal years ending after December 2023. Any question targeting cybersecurity disclosures must restrict to filings from those years.</w:t>
      </w:r>
    </w:p>
    <w:p w14:paraId="7849A5EC" w14:textId="77777777" w:rsidR="00871B1E" w:rsidRPr="00454059" w:rsidRDefault="00000000" w:rsidP="00454059">
      <w:pPr>
        <w:pStyle w:val="Heading3"/>
        <w:jc w:val="both"/>
        <w:rPr>
          <w:rFonts w:ascii="Times New Roman" w:hAnsi="Times New Roman" w:cs="Times New Roman"/>
          <w:sz w:val="22"/>
          <w:szCs w:val="22"/>
        </w:rPr>
      </w:pPr>
      <w:bookmarkStart w:id="4" w:name="summary-quality-table"/>
      <w:r w:rsidRPr="00454059">
        <w:rPr>
          <w:rFonts w:ascii="Times New Roman" w:hAnsi="Times New Roman" w:cs="Times New Roman"/>
          <w:sz w:val="22"/>
          <w:szCs w:val="22"/>
        </w:rPr>
        <w:t>Summary quality table</w:t>
      </w:r>
    </w:p>
    <w:tbl>
      <w:tblPr>
        <w:tblStyle w:val="GridTable5Dark"/>
        <w:tblW w:w="4825" w:type="pct"/>
        <w:tblLayout w:type="fixed"/>
        <w:tblLook w:val="0020" w:firstRow="1" w:lastRow="0" w:firstColumn="0" w:lastColumn="0" w:noHBand="0" w:noVBand="0"/>
      </w:tblPr>
      <w:tblGrid>
        <w:gridCol w:w="3421"/>
        <w:gridCol w:w="3672"/>
        <w:gridCol w:w="3537"/>
      </w:tblGrid>
      <w:tr w:rsidR="00871B1E" w:rsidRPr="00974807" w14:paraId="15E01E56" w14:textId="77777777" w:rsidTr="00172EB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22" w:type="dxa"/>
          </w:tcPr>
          <w:p w14:paraId="3C6F4858" w14:textId="77777777" w:rsidR="00871B1E" w:rsidRPr="00974807" w:rsidRDefault="00000000" w:rsidP="00454059">
            <w:pPr>
              <w:pStyle w:val="Compact"/>
              <w:jc w:val="both"/>
              <w:rPr>
                <w:rFonts w:ascii="Times New Roman" w:hAnsi="Times New Roman" w:cs="Times New Roman"/>
                <w:sz w:val="20"/>
                <w:szCs w:val="20"/>
              </w:rPr>
            </w:pPr>
            <w:r w:rsidRPr="00974807">
              <w:rPr>
                <w:rFonts w:ascii="Times New Roman" w:hAnsi="Times New Roman" w:cs="Times New Roman"/>
                <w:sz w:val="20"/>
                <w:szCs w:val="20"/>
              </w:rPr>
              <w:t>Dimension</w:t>
            </w:r>
          </w:p>
        </w:tc>
        <w:tc>
          <w:tcPr>
            <w:tcW w:w="3672" w:type="dxa"/>
          </w:tcPr>
          <w:p w14:paraId="14372A51" w14:textId="77777777" w:rsidR="00871B1E" w:rsidRPr="00974807" w:rsidRDefault="00000000" w:rsidP="00454059">
            <w:pPr>
              <w:pStyle w:val="Compact"/>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4807">
              <w:rPr>
                <w:rFonts w:ascii="Times New Roman" w:hAnsi="Times New Roman" w:cs="Times New Roman"/>
                <w:sz w:val="20"/>
                <w:szCs w:val="20"/>
              </w:rPr>
              <w:t>Finding</w:t>
            </w:r>
          </w:p>
        </w:tc>
        <w:tc>
          <w:tcPr>
            <w:cnfStyle w:val="000010000000" w:firstRow="0" w:lastRow="0" w:firstColumn="0" w:lastColumn="0" w:oddVBand="1" w:evenVBand="0" w:oddHBand="0" w:evenHBand="0" w:firstRowFirstColumn="0" w:firstRowLastColumn="0" w:lastRowFirstColumn="0" w:lastRowLastColumn="0"/>
            <w:tcW w:w="3537" w:type="dxa"/>
          </w:tcPr>
          <w:p w14:paraId="235F30CE" w14:textId="77777777" w:rsidR="00871B1E" w:rsidRPr="00974807" w:rsidRDefault="00000000" w:rsidP="00454059">
            <w:pPr>
              <w:pStyle w:val="Compact"/>
              <w:jc w:val="both"/>
              <w:rPr>
                <w:rFonts w:ascii="Times New Roman" w:hAnsi="Times New Roman" w:cs="Times New Roman"/>
                <w:sz w:val="20"/>
                <w:szCs w:val="20"/>
              </w:rPr>
            </w:pPr>
            <w:r w:rsidRPr="00974807">
              <w:rPr>
                <w:rFonts w:ascii="Times New Roman" w:hAnsi="Times New Roman" w:cs="Times New Roman"/>
                <w:sz w:val="20"/>
                <w:szCs w:val="20"/>
              </w:rPr>
              <w:t>Action</w:t>
            </w:r>
          </w:p>
        </w:tc>
      </w:tr>
      <w:tr w:rsidR="00871B1E" w:rsidRPr="00974807" w14:paraId="3E1F0604" w14:textId="77777777" w:rsidTr="00172E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22" w:type="dxa"/>
          </w:tcPr>
          <w:p w14:paraId="51F8985E" w14:textId="77777777" w:rsidR="00871B1E" w:rsidRPr="00974807" w:rsidRDefault="00000000" w:rsidP="00454059">
            <w:pPr>
              <w:pStyle w:val="Compact"/>
              <w:jc w:val="both"/>
              <w:rPr>
                <w:rFonts w:ascii="Times New Roman" w:hAnsi="Times New Roman" w:cs="Times New Roman"/>
                <w:sz w:val="20"/>
                <w:szCs w:val="20"/>
              </w:rPr>
            </w:pPr>
            <w:r w:rsidRPr="00974807">
              <w:rPr>
                <w:rFonts w:ascii="Times New Roman" w:hAnsi="Times New Roman" w:cs="Times New Roman"/>
                <w:sz w:val="20"/>
                <w:szCs w:val="20"/>
              </w:rPr>
              <w:t>Acquisition completeness</w:t>
            </w:r>
          </w:p>
        </w:tc>
        <w:tc>
          <w:tcPr>
            <w:tcW w:w="3672" w:type="dxa"/>
          </w:tcPr>
          <w:p w14:paraId="48FA20CB" w14:textId="77777777" w:rsidR="00871B1E" w:rsidRPr="00974807" w:rsidRDefault="00000000" w:rsidP="00454059">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4807">
              <w:rPr>
                <w:rFonts w:ascii="Times New Roman" w:hAnsi="Times New Roman" w:cs="Times New Roman"/>
                <w:sz w:val="20"/>
                <w:szCs w:val="20"/>
              </w:rPr>
              <w:t>100% (198/198)</w:t>
            </w:r>
          </w:p>
        </w:tc>
        <w:tc>
          <w:tcPr>
            <w:cnfStyle w:val="000010000000" w:firstRow="0" w:lastRow="0" w:firstColumn="0" w:lastColumn="0" w:oddVBand="1" w:evenVBand="0" w:oddHBand="0" w:evenHBand="0" w:firstRowFirstColumn="0" w:firstRowLastColumn="0" w:lastRowFirstColumn="0" w:lastRowLastColumn="0"/>
            <w:tcW w:w="3537" w:type="dxa"/>
          </w:tcPr>
          <w:p w14:paraId="3EC8F2FF" w14:textId="0EC89E1B" w:rsidR="00871B1E" w:rsidRPr="00974807" w:rsidRDefault="00C031F5" w:rsidP="00C031F5">
            <w:pPr>
              <w:pStyle w:val="Compact"/>
              <w:jc w:val="center"/>
              <w:rPr>
                <w:rFonts w:ascii="Times New Roman" w:hAnsi="Times New Roman" w:cs="Times New Roman"/>
                <w:sz w:val="20"/>
                <w:szCs w:val="20"/>
              </w:rPr>
            </w:pPr>
            <w:r>
              <w:rPr>
                <w:rFonts w:ascii="Times New Roman" w:hAnsi="Times New Roman" w:cs="Times New Roman"/>
                <w:sz w:val="20"/>
                <w:szCs w:val="20"/>
              </w:rPr>
              <w:t>-</w:t>
            </w:r>
          </w:p>
        </w:tc>
      </w:tr>
      <w:tr w:rsidR="00871B1E" w:rsidRPr="00974807" w14:paraId="47677120" w14:textId="77777777" w:rsidTr="00172EB6">
        <w:tc>
          <w:tcPr>
            <w:cnfStyle w:val="000010000000" w:firstRow="0" w:lastRow="0" w:firstColumn="0" w:lastColumn="0" w:oddVBand="1" w:evenVBand="0" w:oddHBand="0" w:evenHBand="0" w:firstRowFirstColumn="0" w:firstRowLastColumn="0" w:lastRowFirstColumn="0" w:lastRowLastColumn="0"/>
            <w:tcW w:w="3422" w:type="dxa"/>
          </w:tcPr>
          <w:p w14:paraId="47369813" w14:textId="77777777" w:rsidR="00871B1E" w:rsidRPr="00974807" w:rsidRDefault="00000000" w:rsidP="00454059">
            <w:pPr>
              <w:pStyle w:val="Compact"/>
              <w:jc w:val="both"/>
              <w:rPr>
                <w:rFonts w:ascii="Times New Roman" w:hAnsi="Times New Roman" w:cs="Times New Roman"/>
                <w:sz w:val="20"/>
                <w:szCs w:val="20"/>
              </w:rPr>
            </w:pPr>
            <w:r w:rsidRPr="00974807">
              <w:rPr>
                <w:rFonts w:ascii="Times New Roman" w:hAnsi="Times New Roman" w:cs="Times New Roman"/>
                <w:sz w:val="20"/>
                <w:szCs w:val="20"/>
              </w:rPr>
              <w:t>Section-label completeness</w:t>
            </w:r>
          </w:p>
        </w:tc>
        <w:tc>
          <w:tcPr>
            <w:tcW w:w="3672" w:type="dxa"/>
          </w:tcPr>
          <w:p w14:paraId="1474FBD4" w14:textId="77777777" w:rsidR="00871B1E" w:rsidRPr="00974807" w:rsidRDefault="00000000" w:rsidP="00454059">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4807">
              <w:rPr>
                <w:rFonts w:ascii="Times New Roman" w:hAnsi="Times New Roman" w:cs="Times New Roman"/>
                <w:sz w:val="20"/>
                <w:szCs w:val="20"/>
              </w:rPr>
              <w:t>93.9% (186/198)</w:t>
            </w:r>
          </w:p>
        </w:tc>
        <w:tc>
          <w:tcPr>
            <w:cnfStyle w:val="000010000000" w:firstRow="0" w:lastRow="0" w:firstColumn="0" w:lastColumn="0" w:oddVBand="1" w:evenVBand="0" w:oddHBand="0" w:evenHBand="0" w:firstRowFirstColumn="0" w:firstRowLastColumn="0" w:lastRowFirstColumn="0" w:lastRowLastColumn="0"/>
            <w:tcW w:w="3537" w:type="dxa"/>
          </w:tcPr>
          <w:p w14:paraId="66EDAF35" w14:textId="77777777" w:rsidR="00871B1E" w:rsidRPr="00974807" w:rsidRDefault="00000000" w:rsidP="00454059">
            <w:pPr>
              <w:pStyle w:val="Compact"/>
              <w:jc w:val="both"/>
              <w:rPr>
                <w:rFonts w:ascii="Times New Roman" w:hAnsi="Times New Roman" w:cs="Times New Roman"/>
                <w:sz w:val="20"/>
                <w:szCs w:val="20"/>
              </w:rPr>
            </w:pPr>
            <w:r w:rsidRPr="00974807">
              <w:rPr>
                <w:rFonts w:ascii="Times New Roman" w:hAnsi="Times New Roman" w:cs="Times New Roman"/>
                <w:sz w:val="20"/>
                <w:szCs w:val="20"/>
              </w:rPr>
              <w:t>Three-tier classification; non-clean filings characterized by root cause</w:t>
            </w:r>
          </w:p>
        </w:tc>
      </w:tr>
      <w:tr w:rsidR="00871B1E" w:rsidRPr="00974807" w14:paraId="25297805" w14:textId="77777777" w:rsidTr="00172E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22" w:type="dxa"/>
          </w:tcPr>
          <w:p w14:paraId="666BAF8A" w14:textId="77777777" w:rsidR="00871B1E" w:rsidRPr="00974807" w:rsidRDefault="00000000" w:rsidP="00454059">
            <w:pPr>
              <w:pStyle w:val="Compact"/>
              <w:jc w:val="both"/>
              <w:rPr>
                <w:rFonts w:ascii="Times New Roman" w:hAnsi="Times New Roman" w:cs="Times New Roman"/>
                <w:sz w:val="20"/>
                <w:szCs w:val="20"/>
              </w:rPr>
            </w:pPr>
            <w:r w:rsidRPr="00974807">
              <w:rPr>
                <w:rFonts w:ascii="Times New Roman" w:hAnsi="Times New Roman" w:cs="Times New Roman"/>
                <w:sz w:val="20"/>
                <w:szCs w:val="20"/>
              </w:rPr>
              <w:t>XBRL contamination</w:t>
            </w:r>
          </w:p>
        </w:tc>
        <w:tc>
          <w:tcPr>
            <w:tcW w:w="3672" w:type="dxa"/>
          </w:tcPr>
          <w:p w14:paraId="4C3A35F2" w14:textId="77777777" w:rsidR="00871B1E" w:rsidRPr="00974807" w:rsidRDefault="00000000" w:rsidP="00454059">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4807">
              <w:rPr>
                <w:rFonts w:ascii="Times New Roman" w:hAnsi="Times New Roman" w:cs="Times New Roman"/>
                <w:sz w:val="20"/>
                <w:szCs w:val="20"/>
              </w:rPr>
              <w:t>Found in all filings</w:t>
            </w:r>
          </w:p>
        </w:tc>
        <w:tc>
          <w:tcPr>
            <w:cnfStyle w:val="000010000000" w:firstRow="0" w:lastRow="0" w:firstColumn="0" w:lastColumn="0" w:oddVBand="1" w:evenVBand="0" w:oddHBand="0" w:evenHBand="0" w:firstRowFirstColumn="0" w:firstRowLastColumn="0" w:lastRowFirstColumn="0" w:lastRowLastColumn="0"/>
            <w:tcW w:w="3537" w:type="dxa"/>
          </w:tcPr>
          <w:p w14:paraId="70346592" w14:textId="77777777" w:rsidR="00871B1E" w:rsidRPr="00974807" w:rsidRDefault="00000000" w:rsidP="00454059">
            <w:pPr>
              <w:pStyle w:val="Compact"/>
              <w:jc w:val="both"/>
              <w:rPr>
                <w:rFonts w:ascii="Times New Roman" w:hAnsi="Times New Roman" w:cs="Times New Roman"/>
                <w:sz w:val="20"/>
                <w:szCs w:val="20"/>
              </w:rPr>
            </w:pPr>
            <w:r w:rsidRPr="00974807">
              <w:rPr>
                <w:rFonts w:ascii="Times New Roman" w:hAnsi="Times New Roman" w:cs="Times New Roman"/>
                <w:sz w:val="20"/>
                <w:szCs w:val="20"/>
              </w:rPr>
              <w:t>Extraction patched; verified on 20 spot-checked filings</w:t>
            </w:r>
          </w:p>
        </w:tc>
      </w:tr>
      <w:tr w:rsidR="00871B1E" w:rsidRPr="00974807" w14:paraId="5B41825E" w14:textId="77777777" w:rsidTr="00172EB6">
        <w:tc>
          <w:tcPr>
            <w:cnfStyle w:val="000010000000" w:firstRow="0" w:lastRow="0" w:firstColumn="0" w:lastColumn="0" w:oddVBand="1" w:evenVBand="0" w:oddHBand="0" w:evenHBand="0" w:firstRowFirstColumn="0" w:firstRowLastColumn="0" w:lastRowFirstColumn="0" w:lastRowLastColumn="0"/>
            <w:tcW w:w="3422" w:type="dxa"/>
          </w:tcPr>
          <w:p w14:paraId="42EE1389" w14:textId="77777777" w:rsidR="00871B1E" w:rsidRPr="00974807" w:rsidRDefault="00000000" w:rsidP="00454059">
            <w:pPr>
              <w:pStyle w:val="Compact"/>
              <w:jc w:val="both"/>
              <w:rPr>
                <w:rFonts w:ascii="Times New Roman" w:hAnsi="Times New Roman" w:cs="Times New Roman"/>
                <w:sz w:val="20"/>
                <w:szCs w:val="20"/>
              </w:rPr>
            </w:pPr>
            <w:r w:rsidRPr="00974807">
              <w:rPr>
                <w:rFonts w:ascii="Times New Roman" w:hAnsi="Times New Roman" w:cs="Times New Roman"/>
                <w:sz w:val="20"/>
                <w:szCs w:val="20"/>
              </w:rPr>
              <w:t>Section detection accuracy</w:t>
            </w:r>
          </w:p>
        </w:tc>
        <w:tc>
          <w:tcPr>
            <w:tcW w:w="3672" w:type="dxa"/>
          </w:tcPr>
          <w:p w14:paraId="42703FB1" w14:textId="77777777" w:rsidR="00871B1E" w:rsidRPr="00974807" w:rsidRDefault="00000000" w:rsidP="00454059">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4807">
              <w:rPr>
                <w:rFonts w:ascii="Times New Roman" w:hAnsi="Times New Roman" w:cs="Times New Roman"/>
                <w:sz w:val="20"/>
                <w:szCs w:val="20"/>
              </w:rPr>
              <w:t>Validated per tier</w:t>
            </w:r>
          </w:p>
        </w:tc>
        <w:tc>
          <w:tcPr>
            <w:cnfStyle w:val="000010000000" w:firstRow="0" w:lastRow="0" w:firstColumn="0" w:lastColumn="0" w:oddVBand="1" w:evenVBand="0" w:oddHBand="0" w:evenHBand="0" w:firstRowFirstColumn="0" w:firstRowLastColumn="0" w:lastRowFirstColumn="0" w:lastRowLastColumn="0"/>
            <w:tcW w:w="3537" w:type="dxa"/>
          </w:tcPr>
          <w:p w14:paraId="674849BB" w14:textId="77777777" w:rsidR="00871B1E" w:rsidRPr="00974807" w:rsidRDefault="00000000" w:rsidP="00454059">
            <w:pPr>
              <w:pStyle w:val="Compact"/>
              <w:jc w:val="both"/>
              <w:rPr>
                <w:rFonts w:ascii="Times New Roman" w:hAnsi="Times New Roman" w:cs="Times New Roman"/>
                <w:sz w:val="20"/>
                <w:szCs w:val="20"/>
              </w:rPr>
            </w:pPr>
            <w:r w:rsidRPr="00974807">
              <w:rPr>
                <w:rFonts w:ascii="Times New Roman" w:hAnsi="Times New Roman" w:cs="Times New Roman"/>
                <w:sz w:val="20"/>
                <w:szCs w:val="20"/>
              </w:rPr>
              <w:t>Item 7 character distribution confirms tier classification</w:t>
            </w:r>
          </w:p>
        </w:tc>
      </w:tr>
      <w:tr w:rsidR="00871B1E" w:rsidRPr="00974807" w14:paraId="362F8D2D" w14:textId="77777777" w:rsidTr="00172EB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3422" w:type="dxa"/>
          </w:tcPr>
          <w:p w14:paraId="7B333E84" w14:textId="77777777" w:rsidR="00871B1E" w:rsidRPr="00974807" w:rsidRDefault="00000000" w:rsidP="00454059">
            <w:pPr>
              <w:pStyle w:val="Compact"/>
              <w:jc w:val="both"/>
              <w:rPr>
                <w:rFonts w:ascii="Times New Roman" w:hAnsi="Times New Roman" w:cs="Times New Roman"/>
                <w:sz w:val="20"/>
                <w:szCs w:val="20"/>
              </w:rPr>
            </w:pPr>
            <w:r w:rsidRPr="00974807">
              <w:rPr>
                <w:rFonts w:ascii="Times New Roman" w:hAnsi="Times New Roman" w:cs="Times New Roman"/>
                <w:sz w:val="20"/>
                <w:szCs w:val="20"/>
              </w:rPr>
              <w:t>Consistency (schema)</w:t>
            </w:r>
          </w:p>
        </w:tc>
        <w:tc>
          <w:tcPr>
            <w:tcW w:w="3672" w:type="dxa"/>
          </w:tcPr>
          <w:p w14:paraId="77F23D25" w14:textId="77777777" w:rsidR="00871B1E" w:rsidRPr="00974807" w:rsidRDefault="00000000" w:rsidP="00454059">
            <w:pPr>
              <w:pStyle w:val="Compact"/>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974807">
              <w:rPr>
                <w:rFonts w:ascii="Times New Roman" w:hAnsi="Times New Roman" w:cs="Times New Roman"/>
                <w:sz w:val="20"/>
                <w:szCs w:val="20"/>
              </w:rPr>
              <w:t>Stable manifest</w:t>
            </w:r>
          </w:p>
        </w:tc>
        <w:tc>
          <w:tcPr>
            <w:cnfStyle w:val="000010000000" w:firstRow="0" w:lastRow="0" w:firstColumn="0" w:lastColumn="0" w:oddVBand="1" w:evenVBand="0" w:oddHBand="0" w:evenHBand="0" w:firstRowFirstColumn="0" w:firstRowLastColumn="0" w:lastRowFirstColumn="0" w:lastRowLastColumn="0"/>
            <w:tcW w:w="3537" w:type="dxa"/>
          </w:tcPr>
          <w:p w14:paraId="2320A390" w14:textId="77777777" w:rsidR="00871B1E" w:rsidRPr="00974807" w:rsidRDefault="00000000" w:rsidP="00454059">
            <w:pPr>
              <w:pStyle w:val="Compact"/>
              <w:jc w:val="both"/>
              <w:rPr>
                <w:rFonts w:ascii="Times New Roman" w:hAnsi="Times New Roman" w:cs="Times New Roman"/>
                <w:sz w:val="20"/>
                <w:szCs w:val="20"/>
              </w:rPr>
            </w:pPr>
            <w:r w:rsidRPr="00974807">
              <w:rPr>
                <w:rFonts w:ascii="Times New Roman" w:hAnsi="Times New Roman" w:cs="Times New Roman"/>
                <w:sz w:val="20"/>
                <w:szCs w:val="20"/>
              </w:rPr>
              <w:t>All downstream code reads a single quality contract</w:t>
            </w:r>
          </w:p>
        </w:tc>
      </w:tr>
      <w:tr w:rsidR="00871B1E" w:rsidRPr="00974807" w14:paraId="1FFF9E76" w14:textId="77777777" w:rsidTr="00172EB6">
        <w:tc>
          <w:tcPr>
            <w:cnfStyle w:val="000010000000" w:firstRow="0" w:lastRow="0" w:firstColumn="0" w:lastColumn="0" w:oddVBand="1" w:evenVBand="0" w:oddHBand="0" w:evenHBand="0" w:firstRowFirstColumn="0" w:firstRowLastColumn="0" w:lastRowFirstColumn="0" w:lastRowLastColumn="0"/>
            <w:tcW w:w="3422" w:type="dxa"/>
          </w:tcPr>
          <w:p w14:paraId="5947C439" w14:textId="77777777" w:rsidR="00871B1E" w:rsidRPr="00974807" w:rsidRDefault="00000000" w:rsidP="00454059">
            <w:pPr>
              <w:pStyle w:val="Compact"/>
              <w:jc w:val="both"/>
              <w:rPr>
                <w:rFonts w:ascii="Times New Roman" w:hAnsi="Times New Roman" w:cs="Times New Roman"/>
                <w:sz w:val="20"/>
                <w:szCs w:val="20"/>
              </w:rPr>
            </w:pPr>
            <w:r w:rsidRPr="00974807">
              <w:rPr>
                <w:rFonts w:ascii="Times New Roman" w:hAnsi="Times New Roman" w:cs="Times New Roman"/>
                <w:sz w:val="20"/>
                <w:szCs w:val="20"/>
              </w:rPr>
              <w:t>Item 1C temporal coverage</w:t>
            </w:r>
          </w:p>
        </w:tc>
        <w:tc>
          <w:tcPr>
            <w:tcW w:w="3672" w:type="dxa"/>
          </w:tcPr>
          <w:p w14:paraId="313FA67C" w14:textId="77777777" w:rsidR="00871B1E" w:rsidRPr="00974807" w:rsidRDefault="00000000" w:rsidP="00454059">
            <w:pPr>
              <w:pStyle w:val="Compact"/>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974807">
              <w:rPr>
                <w:rFonts w:ascii="Times New Roman" w:hAnsi="Times New Roman" w:cs="Times New Roman"/>
                <w:sz w:val="20"/>
                <w:szCs w:val="20"/>
              </w:rPr>
              <w:t>132/198 filings (post-2023)</w:t>
            </w:r>
          </w:p>
        </w:tc>
        <w:tc>
          <w:tcPr>
            <w:cnfStyle w:val="000010000000" w:firstRow="0" w:lastRow="0" w:firstColumn="0" w:lastColumn="0" w:oddVBand="1" w:evenVBand="0" w:oddHBand="0" w:evenHBand="0" w:firstRowFirstColumn="0" w:firstRowLastColumn="0" w:lastRowFirstColumn="0" w:lastRowLastColumn="0"/>
            <w:tcW w:w="3537" w:type="dxa"/>
          </w:tcPr>
          <w:p w14:paraId="71E2AC79" w14:textId="77777777" w:rsidR="00871B1E" w:rsidRPr="00974807" w:rsidRDefault="00000000" w:rsidP="00454059">
            <w:pPr>
              <w:pStyle w:val="Compact"/>
              <w:jc w:val="both"/>
              <w:rPr>
                <w:rFonts w:ascii="Times New Roman" w:hAnsi="Times New Roman" w:cs="Times New Roman"/>
                <w:sz w:val="20"/>
                <w:szCs w:val="20"/>
              </w:rPr>
            </w:pPr>
            <w:r w:rsidRPr="00974807">
              <w:rPr>
                <w:rFonts w:ascii="Times New Roman" w:hAnsi="Times New Roman" w:cs="Times New Roman"/>
                <w:sz w:val="20"/>
                <w:szCs w:val="20"/>
              </w:rPr>
              <w:t>QA construction restricts Item 1C questions to FY2024+</w:t>
            </w:r>
          </w:p>
        </w:tc>
      </w:tr>
    </w:tbl>
    <w:p w14:paraId="2C6EDC20" w14:textId="77777777" w:rsidR="00871B1E" w:rsidRPr="00454059" w:rsidRDefault="00000000" w:rsidP="00454059">
      <w:pPr>
        <w:pStyle w:val="Heading3"/>
        <w:jc w:val="both"/>
        <w:rPr>
          <w:rFonts w:ascii="Times New Roman" w:hAnsi="Times New Roman" w:cs="Times New Roman"/>
          <w:sz w:val="22"/>
          <w:szCs w:val="22"/>
        </w:rPr>
      </w:pPr>
      <w:bookmarkStart w:id="5" w:name="remaining-limitations"/>
      <w:bookmarkEnd w:id="4"/>
      <w:r w:rsidRPr="00454059">
        <w:rPr>
          <w:rFonts w:ascii="Times New Roman" w:hAnsi="Times New Roman" w:cs="Times New Roman"/>
          <w:sz w:val="22"/>
          <w:szCs w:val="22"/>
        </w:rPr>
        <w:t>Remaining limitations</w:t>
      </w:r>
    </w:p>
    <w:p w14:paraId="6CFE051A" w14:textId="38483B9A" w:rsidR="00871B1E" w:rsidRPr="00454059" w:rsidRDefault="00000000" w:rsidP="00454059">
      <w:pPr>
        <w:pStyle w:val="FirstParagraph"/>
        <w:jc w:val="both"/>
        <w:rPr>
          <w:rFonts w:ascii="Times New Roman" w:hAnsi="Times New Roman" w:cs="Times New Roman"/>
          <w:sz w:val="20"/>
          <w:szCs w:val="20"/>
        </w:rPr>
      </w:pPr>
      <w:r w:rsidRPr="00454059">
        <w:rPr>
          <w:rFonts w:ascii="Times New Roman" w:hAnsi="Times New Roman" w:cs="Times New Roman"/>
          <w:sz w:val="20"/>
          <w:szCs w:val="20"/>
        </w:rPr>
        <w:t>The 12 fixed-size filings carry no section labels and are excluded from Item-specific question targeting. Retrieval performance differences between the strict and hybrid tiers remain untested (planned robustness check). The corpus is 10-K only; 10-Q content is deferred.</w:t>
      </w:r>
    </w:p>
    <w:p w14:paraId="68169AD9" w14:textId="77777777" w:rsidR="00871B1E" w:rsidRPr="00454059" w:rsidRDefault="00000000" w:rsidP="00454059">
      <w:pPr>
        <w:pStyle w:val="Heading2"/>
        <w:jc w:val="both"/>
        <w:rPr>
          <w:rFonts w:ascii="Times New Roman" w:hAnsi="Times New Roman" w:cs="Times New Roman"/>
          <w:sz w:val="24"/>
          <w:szCs w:val="24"/>
        </w:rPr>
      </w:pPr>
      <w:bookmarkStart w:id="6" w:name="exploratory-analysis-visualizations"/>
      <w:bookmarkEnd w:id="3"/>
      <w:bookmarkEnd w:id="5"/>
      <w:r w:rsidRPr="00454059">
        <w:rPr>
          <w:rFonts w:ascii="Times New Roman" w:hAnsi="Times New Roman" w:cs="Times New Roman"/>
          <w:sz w:val="24"/>
          <w:szCs w:val="24"/>
        </w:rPr>
        <w:t>3. Exploratory Analysis &amp; Visualizations</w:t>
      </w:r>
    </w:p>
    <w:p w14:paraId="6F083427" w14:textId="19B59E69" w:rsidR="00454059" w:rsidRDefault="00454059" w:rsidP="00C031F5">
      <w:pPr>
        <w:pStyle w:val="BodyText"/>
        <w:jc w:val="center"/>
        <w:rPr>
          <w:rFonts w:ascii="Times New Roman" w:hAnsi="Times New Roman" w:cs="Times New Roman"/>
          <w:b/>
          <w:bCs/>
        </w:rPr>
      </w:pPr>
      <w:r>
        <w:rPr>
          <w:rFonts w:ascii="Times New Roman" w:hAnsi="Times New Roman" w:cs="Times New Roman"/>
          <w:b/>
          <w:bCs/>
          <w:noProof/>
        </w:rPr>
        <w:drawing>
          <wp:inline distT="0" distB="0" distL="0" distR="0" wp14:anchorId="678AEFEB" wp14:editId="0F81C469">
            <wp:extent cx="5203596" cy="2714625"/>
            <wp:effectExtent l="0" t="0" r="0" b="0"/>
            <wp:docPr id="3670899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89981" name="Picture 3670899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260183" cy="2744146"/>
                    </a:xfrm>
                    <a:prstGeom prst="rect">
                      <a:avLst/>
                    </a:prstGeom>
                  </pic:spPr>
                </pic:pic>
              </a:graphicData>
            </a:graphic>
          </wp:inline>
        </w:drawing>
      </w:r>
    </w:p>
    <w:p w14:paraId="5B041853" w14:textId="284EB87C" w:rsidR="00871B1E" w:rsidRPr="00454059" w:rsidRDefault="00000000" w:rsidP="00454059">
      <w:pPr>
        <w:pStyle w:val="BodyText"/>
        <w:jc w:val="both"/>
        <w:rPr>
          <w:rFonts w:ascii="Times New Roman" w:hAnsi="Times New Roman" w:cs="Times New Roman"/>
          <w:sz w:val="20"/>
          <w:szCs w:val="20"/>
        </w:rPr>
      </w:pPr>
      <w:r w:rsidRPr="00C031F5">
        <w:rPr>
          <w:rFonts w:ascii="Times New Roman" w:hAnsi="Times New Roman" w:cs="Times New Roman"/>
          <w:b/>
          <w:bCs/>
          <w:sz w:val="22"/>
          <w:szCs w:val="22"/>
        </w:rPr>
        <w:t>Figure 1.</w:t>
      </w:r>
      <w:r w:rsidRPr="00454059">
        <w:rPr>
          <w:rFonts w:ascii="Times New Roman" w:hAnsi="Times New Roman" w:cs="Times New Roman"/>
          <w:sz w:val="20"/>
          <w:szCs w:val="20"/>
        </w:rPr>
        <w:t xml:space="preserve"> Tech filings cluster around 0.3–0.5 million characters; financial filings stretch to 1.5+ million with a long right tail. Financial 10-Ks are roughly 2.25× larger on average, which means retrieval must contend with more candidate text per filing in the financial sector.</w:t>
      </w:r>
    </w:p>
    <w:p w14:paraId="0686F907" w14:textId="07018AFE" w:rsidR="00454059" w:rsidRDefault="00454059" w:rsidP="00C031F5">
      <w:pPr>
        <w:pStyle w:val="BodyText"/>
        <w:jc w:val="center"/>
        <w:rPr>
          <w:rFonts w:ascii="Times New Roman" w:hAnsi="Times New Roman" w:cs="Times New Roman"/>
          <w:b/>
          <w:bCs/>
        </w:rPr>
      </w:pPr>
      <w:r>
        <w:rPr>
          <w:rFonts w:ascii="Times New Roman" w:hAnsi="Times New Roman" w:cs="Times New Roman"/>
          <w:b/>
          <w:bCs/>
          <w:noProof/>
        </w:rPr>
        <w:lastRenderedPageBreak/>
        <w:drawing>
          <wp:inline distT="0" distB="0" distL="0" distR="0" wp14:anchorId="613DDC75" wp14:editId="76F77CF5">
            <wp:extent cx="4760536" cy="2653923"/>
            <wp:effectExtent l="0" t="0" r="0" b="0"/>
            <wp:docPr id="1139857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85789" name="Picture 113985789"/>
                    <pic:cNvPicPr/>
                  </pic:nvPicPr>
                  <pic:blipFill>
                    <a:blip r:embed="rId6" cstate="print">
                      <a:extLst>
                        <a:ext uri="{28A0092B-C50C-407E-A947-70E740481C1C}">
                          <a14:useLocalDpi xmlns:a14="http://schemas.microsoft.com/office/drawing/2010/main" val="0"/>
                        </a:ext>
                      </a:extLst>
                    </a:blip>
                    <a:stretch>
                      <a:fillRect/>
                    </a:stretch>
                  </pic:blipFill>
                  <pic:spPr>
                    <a:xfrm>
                      <a:off x="0" y="0"/>
                      <a:ext cx="4864490" cy="2711875"/>
                    </a:xfrm>
                    <a:prstGeom prst="rect">
                      <a:avLst/>
                    </a:prstGeom>
                  </pic:spPr>
                </pic:pic>
              </a:graphicData>
            </a:graphic>
          </wp:inline>
        </w:drawing>
      </w:r>
    </w:p>
    <w:p w14:paraId="5984ABD4" w14:textId="5E7696E0" w:rsidR="00871B1E" w:rsidRPr="00454059" w:rsidRDefault="00000000" w:rsidP="00454059">
      <w:pPr>
        <w:pStyle w:val="BodyText"/>
        <w:jc w:val="both"/>
        <w:rPr>
          <w:rFonts w:ascii="Times New Roman" w:hAnsi="Times New Roman" w:cs="Times New Roman"/>
          <w:sz w:val="20"/>
          <w:szCs w:val="20"/>
        </w:rPr>
      </w:pPr>
      <w:r w:rsidRPr="00C031F5">
        <w:rPr>
          <w:rFonts w:ascii="Times New Roman" w:hAnsi="Times New Roman" w:cs="Times New Roman"/>
          <w:b/>
          <w:bCs/>
          <w:sz w:val="22"/>
          <w:szCs w:val="22"/>
        </w:rPr>
        <w:t>Figure 2.</w:t>
      </w:r>
      <w:r w:rsidRPr="00454059">
        <w:rPr>
          <w:rFonts w:ascii="Times New Roman" w:hAnsi="Times New Roman" w:cs="Times New Roman"/>
          <w:sz w:val="20"/>
          <w:szCs w:val="20"/>
        </w:rPr>
        <w:t xml:space="preserve"> Three-tier chunking distribution. Strict section-aware accounts for 82.3% of filings; the relaxed hybrid tier recovers an additional 11.6% that would otherwise have been treated as fallbacks; only 6.1% require fixed-size fallback.</w:t>
      </w:r>
    </w:p>
    <w:p w14:paraId="48250B35" w14:textId="3B5687FE" w:rsidR="00454059" w:rsidRDefault="00454059" w:rsidP="00C031F5">
      <w:pPr>
        <w:pStyle w:val="BodyText"/>
        <w:jc w:val="center"/>
        <w:rPr>
          <w:rFonts w:ascii="Times New Roman" w:hAnsi="Times New Roman" w:cs="Times New Roman"/>
          <w:b/>
          <w:bCs/>
        </w:rPr>
      </w:pPr>
      <w:r>
        <w:rPr>
          <w:rFonts w:ascii="Times New Roman" w:hAnsi="Times New Roman" w:cs="Times New Roman"/>
          <w:b/>
          <w:bCs/>
          <w:noProof/>
        </w:rPr>
        <w:drawing>
          <wp:inline distT="0" distB="0" distL="0" distR="0" wp14:anchorId="01AC0201" wp14:editId="1D19845C">
            <wp:extent cx="4760536" cy="2803887"/>
            <wp:effectExtent l="0" t="0" r="0" b="0"/>
            <wp:docPr id="12177540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54015" name="Picture 12177540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874949" cy="2871275"/>
                    </a:xfrm>
                    <a:prstGeom prst="rect">
                      <a:avLst/>
                    </a:prstGeom>
                  </pic:spPr>
                </pic:pic>
              </a:graphicData>
            </a:graphic>
          </wp:inline>
        </w:drawing>
      </w:r>
    </w:p>
    <w:p w14:paraId="04BB4CF0" w14:textId="0CD0FA75" w:rsidR="00871B1E" w:rsidRPr="00454059" w:rsidRDefault="00000000" w:rsidP="00454059">
      <w:pPr>
        <w:pStyle w:val="BodyText"/>
        <w:jc w:val="both"/>
        <w:rPr>
          <w:rFonts w:ascii="Times New Roman" w:hAnsi="Times New Roman" w:cs="Times New Roman"/>
          <w:sz w:val="20"/>
          <w:szCs w:val="20"/>
        </w:rPr>
      </w:pPr>
      <w:r w:rsidRPr="00C031F5">
        <w:rPr>
          <w:rFonts w:ascii="Times New Roman" w:hAnsi="Times New Roman" w:cs="Times New Roman"/>
          <w:b/>
          <w:bCs/>
          <w:sz w:val="22"/>
          <w:szCs w:val="22"/>
        </w:rPr>
        <w:t>Figure 3.</w:t>
      </w:r>
      <w:r w:rsidRPr="00454059">
        <w:rPr>
          <w:rFonts w:ascii="Times New Roman" w:hAnsi="Times New Roman" w:cs="Times New Roman"/>
          <w:sz w:val="20"/>
          <w:szCs w:val="20"/>
        </w:rPr>
        <w:t xml:space="preserve"> Tech filings parse cleanly into the strict tier 88.0% of the time; financial filings reach 76.5%. The 11.5-point gap reflects that financial 10-Ks more often contain non-standard structural elements  incorporation by reference, large Item 8 sections from insurers, and dominant-section parser failures from large bank holding companies.</w:t>
      </w:r>
    </w:p>
    <w:p w14:paraId="0EF94224" w14:textId="274BD0E5" w:rsidR="00454059" w:rsidRDefault="00454059" w:rsidP="00C031F5">
      <w:pPr>
        <w:pStyle w:val="BodyText"/>
        <w:jc w:val="center"/>
        <w:rPr>
          <w:rFonts w:ascii="Times New Roman" w:hAnsi="Times New Roman" w:cs="Times New Roman"/>
          <w:b/>
          <w:bCs/>
        </w:rPr>
      </w:pPr>
      <w:r>
        <w:rPr>
          <w:rFonts w:ascii="Times New Roman" w:hAnsi="Times New Roman" w:cs="Times New Roman"/>
          <w:b/>
          <w:bCs/>
          <w:noProof/>
        </w:rPr>
        <w:drawing>
          <wp:inline distT="0" distB="0" distL="0" distR="0" wp14:anchorId="2299B0D8" wp14:editId="25934061">
            <wp:extent cx="3582186" cy="2378685"/>
            <wp:effectExtent l="0" t="0" r="0" b="0"/>
            <wp:docPr id="104968181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681816" name="Picture 1049681816"/>
                    <pic:cNvPicPr/>
                  </pic:nvPicPr>
                  <pic:blipFill>
                    <a:blip r:embed="rId8" cstate="print">
                      <a:extLst>
                        <a:ext uri="{28A0092B-C50C-407E-A947-70E740481C1C}">
                          <a14:useLocalDpi xmlns:a14="http://schemas.microsoft.com/office/drawing/2010/main" val="0"/>
                        </a:ext>
                      </a:extLst>
                    </a:blip>
                    <a:stretch>
                      <a:fillRect/>
                    </a:stretch>
                  </pic:blipFill>
                  <pic:spPr>
                    <a:xfrm>
                      <a:off x="0" y="0"/>
                      <a:ext cx="3640081" cy="2417129"/>
                    </a:xfrm>
                    <a:prstGeom prst="rect">
                      <a:avLst/>
                    </a:prstGeom>
                  </pic:spPr>
                </pic:pic>
              </a:graphicData>
            </a:graphic>
          </wp:inline>
        </w:drawing>
      </w:r>
    </w:p>
    <w:p w14:paraId="670FD7D5" w14:textId="5034A70B" w:rsidR="00871B1E" w:rsidRPr="00454059" w:rsidRDefault="00000000" w:rsidP="00454059">
      <w:pPr>
        <w:pStyle w:val="BodyText"/>
        <w:jc w:val="both"/>
        <w:rPr>
          <w:rFonts w:ascii="Times New Roman" w:hAnsi="Times New Roman" w:cs="Times New Roman"/>
          <w:sz w:val="20"/>
          <w:szCs w:val="20"/>
        </w:rPr>
      </w:pPr>
      <w:r w:rsidRPr="00C031F5">
        <w:rPr>
          <w:rFonts w:ascii="Times New Roman" w:hAnsi="Times New Roman" w:cs="Times New Roman"/>
          <w:b/>
          <w:bCs/>
          <w:sz w:val="22"/>
          <w:szCs w:val="22"/>
        </w:rPr>
        <w:lastRenderedPageBreak/>
        <w:t>Figure 4.</w:t>
      </w:r>
      <w:r w:rsidRPr="00454059">
        <w:rPr>
          <w:rFonts w:ascii="Times New Roman" w:hAnsi="Times New Roman" w:cs="Times New Roman"/>
          <w:sz w:val="20"/>
          <w:szCs w:val="20"/>
        </w:rPr>
        <w:t xml:space="preserve"> Item 8 (Financial Statements) dominates at 31.8% of section-labeled chunks; Item 7 (MD&amp;A), Item 1A (Risk Factors), and Item 1 (Business) follow. Together, these four Items account for over 75% of retrievable text  and roughly match where analyst questions concentrate (financial performance, risk, strategy, business overview).</w:t>
      </w:r>
    </w:p>
    <w:p w14:paraId="744E8DA7" w14:textId="1DCAF53B" w:rsidR="00974807" w:rsidRDefault="00974807" w:rsidP="00C031F5">
      <w:pPr>
        <w:pStyle w:val="BodyText"/>
        <w:jc w:val="center"/>
        <w:rPr>
          <w:rFonts w:ascii="Times New Roman" w:hAnsi="Times New Roman" w:cs="Times New Roman"/>
          <w:b/>
          <w:bCs/>
        </w:rPr>
      </w:pPr>
      <w:r>
        <w:rPr>
          <w:rFonts w:ascii="Times New Roman" w:hAnsi="Times New Roman" w:cs="Times New Roman"/>
          <w:b/>
          <w:bCs/>
          <w:noProof/>
        </w:rPr>
        <w:drawing>
          <wp:inline distT="0" distB="0" distL="0" distR="0" wp14:anchorId="0E2E8BFD" wp14:editId="7AF50A26">
            <wp:extent cx="4685121" cy="2875175"/>
            <wp:effectExtent l="0" t="0" r="0" b="0"/>
            <wp:docPr id="135013636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136365" name="Picture 13501363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07886" cy="2889146"/>
                    </a:xfrm>
                    <a:prstGeom prst="rect">
                      <a:avLst/>
                    </a:prstGeom>
                  </pic:spPr>
                </pic:pic>
              </a:graphicData>
            </a:graphic>
          </wp:inline>
        </w:drawing>
      </w:r>
    </w:p>
    <w:p w14:paraId="18252F5A" w14:textId="7A4CEDDF" w:rsidR="00871B1E" w:rsidRPr="00454059" w:rsidRDefault="00000000" w:rsidP="00454059">
      <w:pPr>
        <w:pStyle w:val="BodyText"/>
        <w:jc w:val="both"/>
        <w:rPr>
          <w:rFonts w:ascii="Times New Roman" w:hAnsi="Times New Roman" w:cs="Times New Roman"/>
          <w:sz w:val="20"/>
          <w:szCs w:val="20"/>
        </w:rPr>
      </w:pPr>
      <w:r w:rsidRPr="00C031F5">
        <w:rPr>
          <w:rFonts w:ascii="Times New Roman" w:hAnsi="Times New Roman" w:cs="Times New Roman"/>
          <w:b/>
          <w:bCs/>
          <w:sz w:val="22"/>
          <w:szCs w:val="22"/>
        </w:rPr>
        <w:t>Figure 5.</w:t>
      </w:r>
      <w:r w:rsidRPr="00454059">
        <w:rPr>
          <w:rFonts w:ascii="Times New Roman" w:hAnsi="Times New Roman" w:cs="Times New Roman"/>
          <w:sz w:val="20"/>
          <w:szCs w:val="20"/>
        </w:rPr>
        <w:t xml:space="preserve"> Item 7 (MD&amp;A) character count by tier, log scale. The visible separation across tiers  robust content in strict, partial in hybrid, none in fallback  empirically validates the three-tier classification: filings in different tiers genuinely differ in retrievable content, not just labels.</w:t>
      </w:r>
    </w:p>
    <w:p w14:paraId="45220195" w14:textId="31A383AE" w:rsidR="00974807" w:rsidRDefault="00974807" w:rsidP="00454059">
      <w:pPr>
        <w:pStyle w:val="BodyText"/>
        <w:jc w:val="both"/>
        <w:rPr>
          <w:rFonts w:ascii="Times New Roman" w:hAnsi="Times New Roman" w:cs="Times New Roman"/>
          <w:b/>
          <w:bCs/>
        </w:rPr>
      </w:pPr>
      <w:r>
        <w:rPr>
          <w:rFonts w:ascii="Times New Roman" w:hAnsi="Times New Roman" w:cs="Times New Roman"/>
          <w:b/>
          <w:bCs/>
          <w:noProof/>
        </w:rPr>
        <w:drawing>
          <wp:inline distT="0" distB="0" distL="0" distR="0" wp14:anchorId="68FF7117" wp14:editId="4373A510">
            <wp:extent cx="6691630" cy="3406140"/>
            <wp:effectExtent l="0" t="0" r="0" b="0"/>
            <wp:docPr id="185465003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50039" name="Picture 18546500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691630" cy="3406140"/>
                    </a:xfrm>
                    <a:prstGeom prst="rect">
                      <a:avLst/>
                    </a:prstGeom>
                  </pic:spPr>
                </pic:pic>
              </a:graphicData>
            </a:graphic>
          </wp:inline>
        </w:drawing>
      </w:r>
    </w:p>
    <w:p w14:paraId="1CD89D0C" w14:textId="0275190B" w:rsidR="00871B1E" w:rsidRPr="00C031F5" w:rsidRDefault="00000000" w:rsidP="00C031F5">
      <w:pPr>
        <w:pStyle w:val="BodyText"/>
        <w:jc w:val="both"/>
        <w:rPr>
          <w:rFonts w:ascii="Times New Roman" w:hAnsi="Times New Roman" w:cs="Times New Roman"/>
          <w:sz w:val="20"/>
          <w:szCs w:val="20"/>
        </w:rPr>
      </w:pPr>
      <w:r w:rsidRPr="00C031F5">
        <w:rPr>
          <w:rFonts w:ascii="Times New Roman" w:hAnsi="Times New Roman" w:cs="Times New Roman"/>
          <w:b/>
          <w:bCs/>
          <w:sz w:val="22"/>
          <w:szCs w:val="22"/>
        </w:rPr>
        <w:t>Figure 6.</w:t>
      </w:r>
      <w:r w:rsidRPr="00454059">
        <w:rPr>
          <w:rFonts w:ascii="Times New Roman" w:hAnsi="Times New Roman" w:cs="Times New Roman"/>
          <w:sz w:val="20"/>
          <w:szCs w:val="20"/>
        </w:rPr>
        <w:t xml:space="preserve"> Distribution of the 43 non-clean filings across four named failure modes plus one recovery category. The largest single category is filings recovered by the relaxed rule (large Item 8 from insurers); the next is non-standard format (MS, C, INTC). Each named mode points to a different root cause and a different downstream consequence for retrieval.</w:t>
      </w:r>
    </w:p>
    <w:p w14:paraId="3D0D8BC2" w14:textId="77777777" w:rsidR="00871B1E" w:rsidRPr="00454059" w:rsidRDefault="00000000" w:rsidP="00454059">
      <w:pPr>
        <w:pStyle w:val="Heading2"/>
        <w:jc w:val="both"/>
        <w:rPr>
          <w:rFonts w:ascii="Times New Roman" w:hAnsi="Times New Roman" w:cs="Times New Roman"/>
          <w:sz w:val="24"/>
          <w:szCs w:val="24"/>
        </w:rPr>
      </w:pPr>
      <w:bookmarkStart w:id="7" w:name="key-findings-insights"/>
      <w:bookmarkEnd w:id="6"/>
      <w:r w:rsidRPr="00454059">
        <w:rPr>
          <w:rFonts w:ascii="Times New Roman" w:hAnsi="Times New Roman" w:cs="Times New Roman"/>
          <w:sz w:val="24"/>
          <w:szCs w:val="24"/>
        </w:rPr>
        <w:t>4. Key Findings &amp; Insights</w:t>
      </w:r>
    </w:p>
    <w:p w14:paraId="4BB7665F" w14:textId="77777777" w:rsidR="00871B1E" w:rsidRPr="00454059" w:rsidRDefault="00000000" w:rsidP="00454059">
      <w:pPr>
        <w:pStyle w:val="FirstParagraph"/>
        <w:jc w:val="both"/>
        <w:rPr>
          <w:rFonts w:ascii="Times New Roman" w:hAnsi="Times New Roman" w:cs="Times New Roman"/>
          <w:sz w:val="20"/>
          <w:szCs w:val="20"/>
        </w:rPr>
      </w:pPr>
      <w:r w:rsidRPr="00454059">
        <w:rPr>
          <w:rFonts w:ascii="Times New Roman" w:hAnsi="Times New Roman" w:cs="Times New Roman"/>
          <w:b/>
          <w:bCs/>
        </w:rPr>
        <w:t>1. Three-tier chunking outperforms binary classification.</w:t>
      </w:r>
      <w:r w:rsidRPr="00454059">
        <w:rPr>
          <w:rFonts w:ascii="Times New Roman" w:hAnsi="Times New Roman" w:cs="Times New Roman"/>
          <w:sz w:val="20"/>
          <w:szCs w:val="20"/>
        </w:rPr>
        <w:t xml:space="preserve"> Assignment 1 committed to “two chunking strategies (fixed-size vs. section-aware)” with the implicit assumption that filings fall cleanly into one or the other. Reality required a middle tier. We now have </w:t>
      </w:r>
      <w:r w:rsidRPr="00454059">
        <w:rPr>
          <w:rFonts w:ascii="Times New Roman" w:hAnsi="Times New Roman" w:cs="Times New Roman"/>
          <w:b/>
          <w:bCs/>
        </w:rPr>
        <w:t>93.9% section-labeled coverage</w:t>
      </w:r>
      <w:r w:rsidRPr="00454059">
        <w:rPr>
          <w:rFonts w:ascii="Times New Roman" w:hAnsi="Times New Roman" w:cs="Times New Roman"/>
          <w:sz w:val="20"/>
          <w:szCs w:val="20"/>
        </w:rPr>
        <w:t xml:space="preserve"> instead of ~80%, on the same underlying corpus, with no fundamental change to the research question.</w:t>
      </w:r>
    </w:p>
    <w:p w14:paraId="55DF1CA2" w14:textId="169A8AF7" w:rsidR="00871B1E" w:rsidRPr="00454059" w:rsidRDefault="00000000" w:rsidP="00454059">
      <w:pPr>
        <w:pStyle w:val="BodyText"/>
        <w:jc w:val="both"/>
        <w:rPr>
          <w:rFonts w:ascii="Times New Roman" w:hAnsi="Times New Roman" w:cs="Times New Roman"/>
          <w:sz w:val="20"/>
          <w:szCs w:val="20"/>
        </w:rPr>
      </w:pPr>
      <w:r w:rsidRPr="00C031F5">
        <w:rPr>
          <w:rFonts w:ascii="Times New Roman" w:hAnsi="Times New Roman" w:cs="Times New Roman"/>
          <w:b/>
          <w:bCs/>
          <w:sz w:val="22"/>
          <w:szCs w:val="22"/>
        </w:rPr>
        <w:lastRenderedPageBreak/>
        <w:t>2. Financial and tech filings differ structurally  sector matters as an analysis dimension.</w:t>
      </w:r>
      <w:r w:rsidRPr="00454059">
        <w:rPr>
          <w:rFonts w:ascii="Times New Roman" w:hAnsi="Times New Roman" w:cs="Times New Roman"/>
          <w:sz w:val="20"/>
          <w:szCs w:val="20"/>
        </w:rPr>
        <w:t xml:space="preserve"> The original plan treated the two sectors as equivalent corpora. The data shows otherwise: financial filings are 2.25× larger on average, contain 3.1× more Item 7 (MD&amp;A) content, and parse cleanly 11.5 points less often than tech. Section-aware chunking provides proportionally more benefit on financial filings because there is simply more substantive section-labeled content per filing. Sector should be treated as an explicit dimension in retrieval analysis, not collapsed into a single corpus statistic.</w:t>
      </w:r>
    </w:p>
    <w:p w14:paraId="6B5A4FAF" w14:textId="77777777" w:rsidR="00871B1E" w:rsidRPr="00454059" w:rsidRDefault="00000000" w:rsidP="00454059">
      <w:pPr>
        <w:pStyle w:val="BodyText"/>
        <w:jc w:val="both"/>
        <w:rPr>
          <w:rFonts w:ascii="Times New Roman" w:hAnsi="Times New Roman" w:cs="Times New Roman"/>
          <w:sz w:val="20"/>
          <w:szCs w:val="20"/>
        </w:rPr>
      </w:pPr>
      <w:r w:rsidRPr="00C031F5">
        <w:rPr>
          <w:rFonts w:ascii="Times New Roman" w:hAnsi="Times New Roman" w:cs="Times New Roman"/>
          <w:b/>
          <w:bCs/>
          <w:sz w:val="22"/>
          <w:szCs w:val="22"/>
        </w:rPr>
        <w:t>3. Failure modes are company-specific, not year-specific.</w:t>
      </w:r>
      <w:r w:rsidRPr="00454059">
        <w:rPr>
          <w:rFonts w:ascii="Times New Roman" w:hAnsi="Times New Roman" w:cs="Times New Roman"/>
          <w:sz w:val="20"/>
          <w:szCs w:val="20"/>
        </w:rPr>
        <w:t xml:space="preserve"> Of the 8 companies that fail to parse cleanly in multiple years, 7 fail identically across all years they appear. MS, IBM, and similar issuers fail the same way every year. This means parser improvements can be targeted at specific issuers, and future corpus expansion can predict roughly which new filings will succeed or fail based on the ticker alone. Assignment 1’s general “filings vary in structure” framing understated this regularity.</w:t>
      </w:r>
    </w:p>
    <w:p w14:paraId="02AFEECE" w14:textId="77777777" w:rsidR="00871B1E" w:rsidRPr="00454059" w:rsidRDefault="00000000" w:rsidP="00454059">
      <w:pPr>
        <w:pStyle w:val="BodyText"/>
        <w:jc w:val="both"/>
        <w:rPr>
          <w:rFonts w:ascii="Times New Roman" w:hAnsi="Times New Roman" w:cs="Times New Roman"/>
          <w:sz w:val="20"/>
          <w:szCs w:val="20"/>
        </w:rPr>
      </w:pPr>
      <w:r w:rsidRPr="00C031F5">
        <w:rPr>
          <w:rFonts w:ascii="Times New Roman" w:hAnsi="Times New Roman" w:cs="Times New Roman"/>
          <w:b/>
          <w:bCs/>
          <w:sz w:val="22"/>
          <w:szCs w:val="22"/>
        </w:rPr>
        <w:t>4. Item 1C (Cybersecurity) sparseness imposes question-construction constraints the plan did not anticipate.</w:t>
      </w:r>
      <w:r w:rsidRPr="00454059">
        <w:rPr>
          <w:rFonts w:ascii="Times New Roman" w:hAnsi="Times New Roman" w:cs="Times New Roman"/>
          <w:sz w:val="20"/>
          <w:szCs w:val="20"/>
        </w:rPr>
        <w:t xml:space="preserve"> Item 1C only appears in 132/198 filings because it is a 2024-onward SEC requirement. Any QA pair targeting cybersecurity disclosures must restrict to filings from those years. This was not foreseen in Assignment 1 and is now a documented constraint in the QA construction playbook. Similar timing-related caveats apply less severely to a handful of other Items.</w:t>
      </w:r>
    </w:p>
    <w:p w14:paraId="669673F7" w14:textId="77777777" w:rsidR="00454059" w:rsidRPr="00C031F5" w:rsidRDefault="00000000" w:rsidP="00454059">
      <w:pPr>
        <w:pStyle w:val="BodyText"/>
        <w:jc w:val="both"/>
        <w:rPr>
          <w:rFonts w:ascii="Times New Roman" w:hAnsi="Times New Roman" w:cs="Times New Roman"/>
          <w:sz w:val="22"/>
          <w:szCs w:val="22"/>
        </w:rPr>
      </w:pPr>
      <w:r w:rsidRPr="00C031F5">
        <w:rPr>
          <w:rFonts w:ascii="Times New Roman" w:hAnsi="Times New Roman" w:cs="Times New Roman"/>
          <w:b/>
          <w:bCs/>
          <w:sz w:val="22"/>
          <w:szCs w:val="22"/>
        </w:rPr>
        <w:t>5. Early retrieval results validate the multi-retriever design.</w:t>
      </w:r>
      <w:r w:rsidRPr="00C031F5">
        <w:rPr>
          <w:rFonts w:ascii="Times New Roman" w:hAnsi="Times New Roman" w:cs="Times New Roman"/>
          <w:sz w:val="22"/>
          <w:szCs w:val="22"/>
        </w:rPr>
        <w:t xml:space="preserve"> </w:t>
      </w:r>
    </w:p>
    <w:p w14:paraId="00AA8B2D" w14:textId="14A80692" w:rsidR="00871B1E" w:rsidRPr="00C031F5" w:rsidRDefault="00000000" w:rsidP="00C031F5">
      <w:pPr>
        <w:pStyle w:val="BodyText"/>
        <w:jc w:val="both"/>
        <w:rPr>
          <w:rFonts w:ascii="Times New Roman" w:hAnsi="Times New Roman" w:cs="Times New Roman"/>
          <w:sz w:val="20"/>
          <w:szCs w:val="20"/>
        </w:rPr>
      </w:pPr>
      <w:r w:rsidRPr="00454059">
        <w:rPr>
          <w:rFonts w:ascii="Times New Roman" w:hAnsi="Times New Roman" w:cs="Times New Roman"/>
          <w:sz w:val="20"/>
          <w:szCs w:val="20"/>
        </w:rPr>
        <w:t>As a pipeline-readiness check we ran preliminary retrieval evaluation on the 10 calibration QA pairs. The lexical baseline (BM25) achieved 20% Recall@10; dense retrieval lifted that to 50%; hybrid (BM25 + dense via reciprocal rank fusion) reached 60%. The lift came primarily from questions where filings use legal-template language (“The Company’s”) and questions use natural language (“Apple’s”)  a vocabulary mismatch dense retrieval addresses through semantic matching. These are preliminary numbers on a small calibration set, but they directionally confirm the multi-retriever design from Assignment 1.</w:t>
      </w:r>
    </w:p>
    <w:p w14:paraId="29A9DFF7" w14:textId="77777777" w:rsidR="00871B1E" w:rsidRPr="00454059" w:rsidRDefault="00000000" w:rsidP="00454059">
      <w:pPr>
        <w:pStyle w:val="Heading2"/>
        <w:jc w:val="both"/>
        <w:rPr>
          <w:rFonts w:ascii="Times New Roman" w:hAnsi="Times New Roman" w:cs="Times New Roman"/>
          <w:sz w:val="24"/>
          <w:szCs w:val="24"/>
        </w:rPr>
      </w:pPr>
      <w:bookmarkStart w:id="8" w:name="updated-analysis-plan"/>
      <w:bookmarkEnd w:id="7"/>
      <w:r w:rsidRPr="00454059">
        <w:rPr>
          <w:rFonts w:ascii="Times New Roman" w:hAnsi="Times New Roman" w:cs="Times New Roman"/>
          <w:sz w:val="24"/>
          <w:szCs w:val="24"/>
        </w:rPr>
        <w:t>5. Updated Analysis Plan</w:t>
      </w:r>
    </w:p>
    <w:p w14:paraId="7501DD6C" w14:textId="0A27E257" w:rsidR="00871B1E" w:rsidRPr="00454059" w:rsidRDefault="00000000" w:rsidP="00454059">
      <w:pPr>
        <w:pStyle w:val="FirstParagraph"/>
        <w:jc w:val="both"/>
        <w:rPr>
          <w:rFonts w:ascii="Times New Roman" w:hAnsi="Times New Roman" w:cs="Times New Roman"/>
          <w:sz w:val="20"/>
          <w:szCs w:val="20"/>
        </w:rPr>
      </w:pPr>
      <w:r w:rsidRPr="00454059">
        <w:rPr>
          <w:rFonts w:ascii="Times New Roman" w:hAnsi="Times New Roman" w:cs="Times New Roman"/>
          <w:sz w:val="20"/>
          <w:szCs w:val="20"/>
        </w:rPr>
        <w:t>EDA confirms the research design from Assignment 1  comparing retrieval architectures across chunking strategies on SEC 10-K QA  while requiring three specific refinements.</w:t>
      </w:r>
    </w:p>
    <w:p w14:paraId="639863A4" w14:textId="77777777" w:rsidR="00871B1E" w:rsidRPr="00454059" w:rsidRDefault="00000000" w:rsidP="00454059">
      <w:pPr>
        <w:pStyle w:val="BodyText"/>
        <w:jc w:val="both"/>
        <w:rPr>
          <w:rFonts w:ascii="Times New Roman" w:hAnsi="Times New Roman" w:cs="Times New Roman"/>
          <w:sz w:val="20"/>
          <w:szCs w:val="20"/>
        </w:rPr>
      </w:pPr>
      <w:r w:rsidRPr="00C031F5">
        <w:rPr>
          <w:rFonts w:ascii="Times New Roman" w:hAnsi="Times New Roman" w:cs="Times New Roman"/>
          <w:b/>
          <w:bCs/>
          <w:sz w:val="22"/>
          <w:szCs w:val="22"/>
        </w:rPr>
        <w:t>Primary experimental subset is 186 section-labeled filings, not all 198.</w:t>
      </w:r>
      <w:r w:rsidRPr="00454059">
        <w:rPr>
          <w:rFonts w:ascii="Times New Roman" w:hAnsi="Times New Roman" w:cs="Times New Roman"/>
          <w:sz w:val="20"/>
          <w:szCs w:val="20"/>
        </w:rPr>
        <w:t xml:space="preserve"> The 12 unlabeled fixed-size filings are excluded from the headline section-aware-vs-fixed-size comparison to avoid conflating two distinct effects (chunking strategy and parser quality). A secondary sensitivity analysis will rerun the primary comparison on the strict-only subset (163 filings) to verify the headline finding does not depend on the recovery tier.</w:t>
      </w:r>
    </w:p>
    <w:p w14:paraId="68338648" w14:textId="77777777" w:rsidR="00871B1E" w:rsidRPr="00454059" w:rsidRDefault="00000000" w:rsidP="00454059">
      <w:pPr>
        <w:pStyle w:val="BodyText"/>
        <w:jc w:val="both"/>
        <w:rPr>
          <w:rFonts w:ascii="Times New Roman" w:hAnsi="Times New Roman" w:cs="Times New Roman"/>
          <w:sz w:val="20"/>
          <w:szCs w:val="20"/>
        </w:rPr>
      </w:pPr>
      <w:r w:rsidRPr="00C031F5">
        <w:rPr>
          <w:rFonts w:ascii="Times New Roman" w:hAnsi="Times New Roman" w:cs="Times New Roman"/>
          <w:b/>
          <w:bCs/>
          <w:sz w:val="22"/>
          <w:szCs w:val="22"/>
        </w:rPr>
        <w:t>Item-specific constraints documented in the QA playbook.</w:t>
      </w:r>
      <w:r w:rsidRPr="00454059">
        <w:rPr>
          <w:rFonts w:ascii="Times New Roman" w:hAnsi="Times New Roman" w:cs="Times New Roman"/>
          <w:sz w:val="20"/>
          <w:szCs w:val="20"/>
        </w:rPr>
        <w:t xml:space="preserve"> Item 7 questions avoid MSFT, BAC, IBM, WFC, JPM, USB filings. Item 1C questions restrict to FY2024+. Fixed-size filings (MS, C, INTC) excluded from Item-specific QA targeting.</w:t>
      </w:r>
    </w:p>
    <w:p w14:paraId="1BB37417" w14:textId="3722E34C" w:rsidR="00871B1E" w:rsidRPr="00454059" w:rsidRDefault="00000000" w:rsidP="00454059">
      <w:pPr>
        <w:pStyle w:val="BodyText"/>
        <w:jc w:val="both"/>
        <w:rPr>
          <w:rFonts w:ascii="Times New Roman" w:hAnsi="Times New Roman" w:cs="Times New Roman"/>
          <w:sz w:val="20"/>
          <w:szCs w:val="20"/>
        </w:rPr>
      </w:pPr>
      <w:r w:rsidRPr="00C031F5">
        <w:rPr>
          <w:rFonts w:ascii="Times New Roman" w:hAnsi="Times New Roman" w:cs="Times New Roman"/>
          <w:b/>
          <w:bCs/>
          <w:sz w:val="22"/>
          <w:szCs w:val="22"/>
        </w:rPr>
        <w:t>QA dataset expansion is the near-term priority.</w:t>
      </w:r>
      <w:r w:rsidRPr="00454059">
        <w:rPr>
          <w:rFonts w:ascii="Times New Roman" w:hAnsi="Times New Roman" w:cs="Times New Roman"/>
          <w:sz w:val="20"/>
          <w:szCs w:val="20"/>
        </w:rPr>
        <w:t xml:space="preserve"> The 100-pair target from Assignment 1 was ambitious; we are stepping it back into a phased plan: 10 calibration pairs complete (Phase 1); ~20 pairs with better question-type balance in progress (Phase 2); further expansion toward 50–75 pairs if time allows (Phase 3). The cross-encoder reranking layer planned in Assignment 1 remains future work  we will add it once the BM25/Dense/Hybrid baseline produces stable numbers on N ≥ 30 QA pairs.</w:t>
      </w:r>
    </w:p>
    <w:p w14:paraId="4E795A77" w14:textId="77777777" w:rsidR="00871B1E" w:rsidRPr="00454059" w:rsidRDefault="00000000" w:rsidP="00454059">
      <w:pPr>
        <w:pStyle w:val="BodyText"/>
        <w:jc w:val="both"/>
        <w:rPr>
          <w:rFonts w:ascii="Times New Roman" w:hAnsi="Times New Roman" w:cs="Times New Roman"/>
          <w:sz w:val="20"/>
          <w:szCs w:val="20"/>
        </w:rPr>
      </w:pPr>
      <w:r w:rsidRPr="00C031F5">
        <w:rPr>
          <w:rFonts w:ascii="Times New Roman" w:hAnsi="Times New Roman" w:cs="Times New Roman"/>
          <w:b/>
          <w:bCs/>
          <w:sz w:val="22"/>
          <w:szCs w:val="22"/>
        </w:rPr>
        <w:t>Open risks.</w:t>
      </w:r>
      <w:r w:rsidRPr="00454059">
        <w:rPr>
          <w:rFonts w:ascii="Times New Roman" w:hAnsi="Times New Roman" w:cs="Times New Roman"/>
          <w:sz w:val="20"/>
          <w:szCs w:val="20"/>
        </w:rPr>
        <w:t xml:space="preserve"> (1) 10-Q content deferred; if needed for the final demonstration, additional ingestion is required. (2) Numerical-reasoning and multi-document-synthesis question types are under-represented in the calibration set and must be rebalanced in Phase 2. (3) The fixed-size filings remain effectively invisible to Item-specific retrieval; acceptable for the headline experiment but should be acknowledged in the final report.</w:t>
      </w:r>
    </w:p>
    <w:p w14:paraId="20906558" w14:textId="23BF9699" w:rsidR="00871B1E" w:rsidRPr="00454059" w:rsidRDefault="00871B1E" w:rsidP="00454059">
      <w:pPr>
        <w:jc w:val="both"/>
        <w:rPr>
          <w:rFonts w:ascii="Times New Roman" w:hAnsi="Times New Roman" w:cs="Times New Roman"/>
        </w:rPr>
      </w:pPr>
    </w:p>
    <w:p w14:paraId="5E8C99D6" w14:textId="77777777" w:rsidR="00871B1E" w:rsidRPr="00C031F5" w:rsidRDefault="00000000" w:rsidP="00454059">
      <w:pPr>
        <w:pStyle w:val="Heading2"/>
        <w:jc w:val="both"/>
        <w:rPr>
          <w:rFonts w:ascii="Times New Roman" w:hAnsi="Times New Roman" w:cs="Times New Roman"/>
          <w:sz w:val="24"/>
          <w:szCs w:val="24"/>
        </w:rPr>
      </w:pPr>
      <w:bookmarkStart w:id="9" w:name="contributions"/>
      <w:bookmarkEnd w:id="8"/>
      <w:r w:rsidRPr="00C031F5">
        <w:rPr>
          <w:rFonts w:ascii="Times New Roman" w:hAnsi="Times New Roman" w:cs="Times New Roman"/>
          <w:sz w:val="24"/>
          <w:szCs w:val="24"/>
        </w:rPr>
        <w:t>Contributions</w:t>
      </w:r>
    </w:p>
    <w:p w14:paraId="52F6A1C6" w14:textId="7A005CCC" w:rsidR="00871B1E" w:rsidRPr="00C031F5" w:rsidRDefault="00000000" w:rsidP="00454059">
      <w:pPr>
        <w:pStyle w:val="Compact"/>
        <w:numPr>
          <w:ilvl w:val="0"/>
          <w:numId w:val="2"/>
        </w:numPr>
        <w:jc w:val="both"/>
        <w:rPr>
          <w:rFonts w:ascii="Times New Roman" w:hAnsi="Times New Roman" w:cs="Times New Roman"/>
          <w:sz w:val="20"/>
          <w:szCs w:val="20"/>
        </w:rPr>
      </w:pPr>
      <w:r w:rsidRPr="00C031F5">
        <w:rPr>
          <w:rFonts w:ascii="Times New Roman" w:hAnsi="Times New Roman" w:cs="Times New Roman"/>
          <w:b/>
          <w:bCs/>
          <w:sz w:val="22"/>
          <w:szCs w:val="22"/>
        </w:rPr>
        <w:t>Mayank Bhardwaj</w:t>
      </w:r>
      <w:r w:rsidRPr="00C031F5">
        <w:rPr>
          <w:rFonts w:ascii="Times New Roman" w:hAnsi="Times New Roman" w:cs="Times New Roman"/>
          <w:sz w:val="20"/>
          <w:szCs w:val="20"/>
        </w:rPr>
        <w:t xml:space="preserve"> (Data &amp; Application Lead): data acquisition, quality-aware chunking methodology, corpus characterization, EDA notebook</w:t>
      </w:r>
      <w:r w:rsidR="00C031F5">
        <w:rPr>
          <w:rFonts w:ascii="Times New Roman" w:hAnsi="Times New Roman" w:cs="Times New Roman"/>
          <w:sz w:val="20"/>
          <w:szCs w:val="20"/>
        </w:rPr>
        <w:t>.</w:t>
      </w:r>
    </w:p>
    <w:p w14:paraId="5AA90C82" w14:textId="6F633743" w:rsidR="00871B1E" w:rsidRPr="00C031F5" w:rsidRDefault="00000000" w:rsidP="00454059">
      <w:pPr>
        <w:pStyle w:val="Compact"/>
        <w:numPr>
          <w:ilvl w:val="0"/>
          <w:numId w:val="2"/>
        </w:numPr>
        <w:jc w:val="both"/>
        <w:rPr>
          <w:rFonts w:ascii="Times New Roman" w:hAnsi="Times New Roman" w:cs="Times New Roman"/>
          <w:sz w:val="20"/>
          <w:szCs w:val="20"/>
        </w:rPr>
      </w:pPr>
      <w:r w:rsidRPr="00C031F5">
        <w:rPr>
          <w:rFonts w:ascii="Times New Roman" w:hAnsi="Times New Roman" w:cs="Times New Roman"/>
          <w:b/>
          <w:bCs/>
          <w:sz w:val="22"/>
          <w:szCs w:val="22"/>
        </w:rPr>
        <w:t>Harshmeet Kaur</w:t>
      </w:r>
      <w:r w:rsidRPr="00C031F5">
        <w:rPr>
          <w:rFonts w:ascii="Times New Roman" w:hAnsi="Times New Roman" w:cs="Times New Roman"/>
          <w:sz w:val="20"/>
          <w:szCs w:val="20"/>
        </w:rPr>
        <w:t xml:space="preserve"> (Evaluation Lead): QA dataset construction</w:t>
      </w:r>
      <w:r w:rsidR="00C031F5" w:rsidRPr="00C031F5">
        <w:rPr>
          <w:rFonts w:ascii="Times New Roman" w:hAnsi="Times New Roman" w:cs="Times New Roman"/>
          <w:sz w:val="20"/>
          <w:szCs w:val="20"/>
        </w:rPr>
        <w:t xml:space="preserve">, </w:t>
      </w:r>
      <w:r w:rsidRPr="00C031F5">
        <w:rPr>
          <w:rFonts w:ascii="Times New Roman" w:hAnsi="Times New Roman" w:cs="Times New Roman"/>
          <w:sz w:val="20"/>
          <w:szCs w:val="20"/>
        </w:rPr>
        <w:t>QA construction playbook, calibration validation.</w:t>
      </w:r>
    </w:p>
    <w:p w14:paraId="2251C06E" w14:textId="272DB895" w:rsidR="00871B1E" w:rsidRPr="00C031F5" w:rsidRDefault="00000000" w:rsidP="00454059">
      <w:pPr>
        <w:pStyle w:val="Compact"/>
        <w:numPr>
          <w:ilvl w:val="0"/>
          <w:numId w:val="2"/>
        </w:numPr>
        <w:jc w:val="both"/>
        <w:rPr>
          <w:rFonts w:ascii="Times New Roman" w:hAnsi="Times New Roman" w:cs="Times New Roman"/>
          <w:sz w:val="20"/>
          <w:szCs w:val="20"/>
        </w:rPr>
      </w:pPr>
      <w:r w:rsidRPr="00C031F5">
        <w:rPr>
          <w:rFonts w:ascii="Times New Roman" w:hAnsi="Times New Roman" w:cs="Times New Roman"/>
          <w:b/>
          <w:bCs/>
          <w:sz w:val="22"/>
          <w:szCs w:val="22"/>
        </w:rPr>
        <w:t>Vidhee Patel</w:t>
      </w:r>
      <w:r w:rsidRPr="00C031F5">
        <w:rPr>
          <w:rFonts w:ascii="Times New Roman" w:hAnsi="Times New Roman" w:cs="Times New Roman"/>
          <w:sz w:val="20"/>
          <w:szCs w:val="20"/>
        </w:rPr>
        <w:t xml:space="preserve"> (Retrieval &amp; Modeling Lead): retrieval module design and BM25 retriever implementation. </w:t>
      </w:r>
      <w:bookmarkEnd w:id="0"/>
      <w:bookmarkEnd w:id="9"/>
    </w:p>
    <w:sectPr w:rsidR="00871B1E" w:rsidRPr="00C031F5" w:rsidSect="00C031F5">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3422BE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AB2730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40863231">
    <w:abstractNumId w:val="0"/>
  </w:num>
  <w:num w:numId="2" w16cid:durableId="19029789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71B1E"/>
    <w:rsid w:val="00172EB6"/>
    <w:rsid w:val="00454059"/>
    <w:rsid w:val="004633BF"/>
    <w:rsid w:val="006468F6"/>
    <w:rsid w:val="00871B1E"/>
    <w:rsid w:val="00974807"/>
    <w:rsid w:val="00C031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5A43D"/>
  <w15:docId w15:val="{F0890C10-0540-2D4D-9E62-AEADA130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TableGrid">
    <w:name w:val="Table Grid"/>
    <w:basedOn w:val="TableNormal"/>
    <w:rsid w:val="00454059"/>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4">
    <w:name w:val="Grid Table 1 Light Accent 4"/>
    <w:basedOn w:val="TableNormal"/>
    <w:uiPriority w:val="46"/>
    <w:rsid w:val="00172EB6"/>
    <w:pPr>
      <w:spacing w:after="0"/>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172EB6"/>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3">
    <w:name w:val="Grid Table 3"/>
    <w:basedOn w:val="TableNormal"/>
    <w:rsid w:val="00172EB6"/>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5Dark-Accent4">
    <w:name w:val="Grid Table 5 Dark Accent 4"/>
    <w:basedOn w:val="TableNormal"/>
    <w:uiPriority w:val="50"/>
    <w:rsid w:val="00172EB6"/>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
    <w:name w:val="Grid Table 5 Dark"/>
    <w:basedOn w:val="TableNormal"/>
    <w:uiPriority w:val="50"/>
    <w:rsid w:val="00172EB6"/>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5</Pages>
  <Words>1862</Words>
  <Characters>10614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Mayank Bhardwaj</cp:lastModifiedBy>
  <cp:revision>5</cp:revision>
  <dcterms:created xsi:type="dcterms:W3CDTF">2026-05-28T19:40:00Z</dcterms:created>
  <dcterms:modified xsi:type="dcterms:W3CDTF">2026-05-28T20:00:00Z</dcterms:modified>
</cp:coreProperties>
</file>