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ind w:firstLine="360"/>
        <w:jc w:val="center"/>
        <w:rPr>
          <w:rFonts w:ascii="Times New Roman" w:cs="Times New Roman" w:eastAsia="Times New Roman" w:hAnsi="Times New Roman"/>
          <w:sz w:val="24"/>
          <w:szCs w:val="24"/>
        </w:rPr>
      </w:pPr>
      <w:bookmarkStart w:colFirst="0" w:colLast="0" w:name="_ohhhuk6epl41" w:id="0"/>
      <w:bookmarkEnd w:id="0"/>
      <w:r w:rsidDel="00000000" w:rsidR="00000000" w:rsidRPr="00000000">
        <w:rPr>
          <w:rFonts w:ascii="Times New Roman" w:cs="Times New Roman" w:eastAsia="Times New Roman" w:hAnsi="Times New Roman"/>
          <w:u w:val="single"/>
          <w:rtl w:val="0"/>
        </w:rPr>
        <w:t xml:space="preserve">Installation</w:t>
      </w:r>
      <w:r w:rsidDel="00000000" w:rsidR="00000000" w:rsidRPr="00000000">
        <w:rPr>
          <w:rtl w:val="0"/>
        </w:rPr>
      </w:r>
    </w:p>
    <w:p w:rsidR="00000000" w:rsidDel="00000000" w:rsidP="00000000" w:rsidRDefault="00000000" w:rsidRPr="00000000" w14:paraId="00000002">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CoolProp guide[A] instructions to install CoolProp before installing Cantera</w:t>
      </w:r>
    </w:p>
    <w:p w:rsidR="00000000" w:rsidDel="00000000" w:rsidP="00000000" w:rsidRDefault="00000000" w:rsidRPr="00000000" w14:paraId="00000004">
      <w:p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Download Cantera 2.6.0 x64 from the .msi file at the </w:t>
      </w:r>
      <w:hyperlink r:id="rId6">
        <w:r w:rsidDel="00000000" w:rsidR="00000000" w:rsidRPr="00000000">
          <w:rPr>
            <w:color w:val="1155cc"/>
            <w:u w:val="single"/>
            <w:rtl w:val="0"/>
          </w:rPr>
          <w:t xml:space="preserve">GitHub download link</w:t>
        </w:r>
      </w:hyperlink>
      <w:r w:rsidDel="00000000" w:rsidR="00000000" w:rsidRPr="00000000">
        <w:rPr>
          <w:rtl w:val="0"/>
        </w:rPr>
        <w:t xml:space="preserve">[1]</w:t>
      </w:r>
    </w:p>
    <w:p w:rsidR="00000000" w:rsidDel="00000000" w:rsidP="00000000" w:rsidRDefault="00000000" w:rsidRPr="00000000" w14:paraId="00000006">
      <w:pPr>
        <w:ind w:left="720" w:hanging="36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Run the installer, just hit “enter” without changing the settings from the defaults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Override safety warnings</w:t>
      </w:r>
    </w:p>
    <w:p w:rsidR="00000000" w:rsidDel="00000000" w:rsidP="00000000" w:rsidRDefault="00000000" w:rsidRPr="00000000" w14:paraId="00000009">
      <w:pPr>
        <w:ind w:left="720" w:hanging="36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Open MATLAB</w:t>
      </w:r>
    </w:p>
    <w:p w:rsidR="00000000" w:rsidDel="00000000" w:rsidP="00000000" w:rsidRDefault="00000000" w:rsidRPr="00000000" w14:paraId="0000000B">
      <w:pPr>
        <w:ind w:left="720" w:hanging="36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Navigate to the “Home” tab in the far top left</w:t>
      </w:r>
    </w:p>
    <w:p w:rsidR="00000000" w:rsidDel="00000000" w:rsidP="00000000" w:rsidRDefault="00000000" w:rsidRPr="00000000" w14:paraId="0000000D">
      <w:pPr>
        <w:ind w:left="720" w:hanging="36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Go to the environment tab in the center-right of the banner</w:t>
      </w:r>
    </w:p>
    <w:p w:rsidR="00000000" w:rsidDel="00000000" w:rsidP="00000000" w:rsidRDefault="00000000" w:rsidRPr="00000000" w14:paraId="0000000F">
      <w:pPr>
        <w:ind w:left="720" w:hanging="36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Click “Set Path”</w:t>
      </w:r>
    </w:p>
    <w:p w:rsidR="00000000" w:rsidDel="00000000" w:rsidP="00000000" w:rsidRDefault="00000000" w:rsidRPr="00000000" w14:paraId="00000011">
      <w:pPr>
        <w:ind w:left="720" w:hanging="36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Click “Add with Subfolders”</w:t>
      </w:r>
    </w:p>
    <w:p w:rsidR="00000000" w:rsidDel="00000000" w:rsidP="00000000" w:rsidRDefault="00000000" w:rsidRPr="00000000" w14:paraId="00000013">
      <w:pPr>
        <w:ind w:left="720" w:hanging="36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Navigate through the file path </w:t>
      </w:r>
      <w:r w:rsidDel="00000000" w:rsidR="00000000" w:rsidRPr="00000000">
        <w:rPr>
          <w:i w:val="1"/>
          <w:rtl w:val="0"/>
        </w:rPr>
        <w:t xml:space="preserve">OS:&gt;Program Files&gt;Cantera&gt;matlab&gt;toolbox</w:t>
      </w:r>
    </w:p>
    <w:p w:rsidR="00000000" w:rsidDel="00000000" w:rsidP="00000000" w:rsidRDefault="00000000" w:rsidRPr="00000000" w14:paraId="00000015">
      <w:pPr>
        <w:ind w:left="720" w:hanging="36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Select the </w:t>
      </w:r>
      <w:r w:rsidDel="00000000" w:rsidR="00000000" w:rsidRPr="00000000">
        <w:rPr>
          <w:i w:val="1"/>
          <w:rtl w:val="0"/>
        </w:rPr>
        <w:t xml:space="preserve">toolbox</w:t>
      </w:r>
      <w:r w:rsidDel="00000000" w:rsidR="00000000" w:rsidRPr="00000000">
        <w:rPr>
          <w:rtl w:val="0"/>
        </w:rPr>
        <w:t xml:space="preserve"> folder and then click “select folder” in the bottom right</w:t>
      </w:r>
    </w:p>
    <w:p w:rsidR="00000000" w:rsidDel="00000000" w:rsidP="00000000" w:rsidRDefault="00000000" w:rsidRPr="00000000" w14:paraId="00000017">
      <w:pPr>
        <w:ind w:left="720" w:hanging="36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Click “Save” and then “Close”</w:t>
      </w:r>
    </w:p>
    <w:p w:rsidR="00000000" w:rsidDel="00000000" w:rsidP="00000000" w:rsidRDefault="00000000" w:rsidRPr="00000000" w14:paraId="00000019">
      <w:pPr>
        <w:ind w:left="720" w:hanging="36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Test software in command prompt with line “gas1 = GRI30”</w:t>
      </w: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3"/>
        <w:ind w:left="0" w:firstLine="0"/>
        <w:jc w:val="center"/>
        <w:rPr>
          <w:u w:val="single"/>
        </w:rPr>
      </w:pPr>
      <w:bookmarkStart w:colFirst="0" w:colLast="0" w:name="_ek85bvap6ee3" w:id="1"/>
      <w:bookmarkEnd w:id="1"/>
      <w:r w:rsidDel="00000000" w:rsidR="00000000" w:rsidRPr="00000000">
        <w:rPr>
          <w:u w:val="single"/>
          <w:rtl w:val="0"/>
        </w:rPr>
        <w:t xml:space="preserve">GRI30 Gas Object Initialization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0" w:firstLine="720"/>
        <w:rPr/>
      </w:pPr>
      <w:r w:rsidDel="00000000" w:rsidR="00000000" w:rsidRPr="00000000">
        <w:rPr>
          <w:rtl w:val="0"/>
        </w:rPr>
        <w:t xml:space="preserve">For our purposes, we will primarily be using the mixture object GRI30. GRI30 is commonly used for natural gas combustion, but since our fuel is a hydrocarbon and our oxidizer contains only nitrogen and oxygen (commonly found in air), this software supports any species which can be reasonably expected within the working fluid. These can be  initialized in the following fashion:</w:t>
      </w:r>
    </w:p>
    <w:p w:rsidR="00000000" w:rsidDel="00000000" w:rsidP="00000000" w:rsidRDefault="00000000" w:rsidRPr="00000000" w14:paraId="0000001E">
      <w:pPr>
        <w:ind w:left="0" w:firstLine="720"/>
        <w:rPr/>
      </w:pPr>
      <w:r w:rsidDel="00000000" w:rsidR="00000000" w:rsidRPr="00000000">
        <w:rPr>
          <w:rtl w:val="0"/>
        </w:rPr>
      </w:r>
    </w:p>
    <w:p w:rsidR="00000000" w:rsidDel="00000000" w:rsidP="00000000" w:rsidRDefault="00000000" w:rsidRPr="00000000" w14:paraId="0000001F">
      <w:pPr>
        <w:ind w:left="0" w:firstLine="0"/>
        <w:jc w:val="center"/>
        <w:rPr>
          <w:i w:val="1"/>
        </w:rPr>
      </w:pPr>
      <w:r w:rsidDel="00000000" w:rsidR="00000000" w:rsidRPr="00000000">
        <w:rPr>
          <w:i w:val="1"/>
          <w:rtl w:val="0"/>
        </w:rPr>
        <w:t xml:space="preserve">gasName = GRI30;</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will initialize hydrogen gas. The properties of the gas can be changed in a similar fashion to CoolProp using the </w:t>
      </w:r>
      <w:r w:rsidDel="00000000" w:rsidR="00000000" w:rsidRPr="00000000">
        <w:rPr>
          <w:i w:val="1"/>
          <w:rtl w:val="0"/>
        </w:rPr>
        <w:t xml:space="preserve">set()</w:t>
      </w:r>
      <w:r w:rsidDel="00000000" w:rsidR="00000000" w:rsidRPr="00000000">
        <w:rPr>
          <w:rtl w:val="0"/>
        </w:rPr>
        <w:t xml:space="preserve"> function, following the syntax below:</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firstLine="0"/>
        <w:jc w:val="center"/>
        <w:rPr/>
      </w:pPr>
      <w:r w:rsidDel="00000000" w:rsidR="00000000" w:rsidRPr="00000000">
        <w:rPr>
          <w:i w:val="1"/>
          <w:rtl w:val="0"/>
        </w:rPr>
        <w:t xml:space="preserve">set(gasName, “inputProperty”, inputValue… …”inputProperty”, inputValue)</w:t>
      </w:r>
      <w:r w:rsidDel="00000000" w:rsidR="00000000" w:rsidRPr="00000000">
        <w:rPr>
          <w:rtl w:val="0"/>
        </w:rPr>
      </w:r>
    </w:p>
    <w:p w:rsidR="00000000" w:rsidDel="00000000" w:rsidP="00000000" w:rsidRDefault="00000000" w:rsidRPr="00000000" w14:paraId="00000024">
      <w:pPr>
        <w:ind w:firstLine="0"/>
        <w:jc w:val="cente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Supported input values can be found in the </w:t>
      </w:r>
      <w:hyperlink r:id="rId7">
        <w:r w:rsidDel="00000000" w:rsidR="00000000" w:rsidRPr="00000000">
          <w:rPr>
            <w:color w:val="1155cc"/>
            <w:u w:val="single"/>
            <w:rtl w:val="0"/>
          </w:rPr>
          <w:t xml:space="preserve">Cantera documentation</w:t>
        </w:r>
      </w:hyperlink>
      <w:r w:rsidDel="00000000" w:rsidR="00000000" w:rsidRPr="00000000">
        <w:rPr>
          <w:rtl w:val="0"/>
        </w:rPr>
        <w:t xml:space="preserve">[2]. Cantera’s CEA can be implemented using the </w:t>
      </w:r>
      <w:r w:rsidDel="00000000" w:rsidR="00000000" w:rsidRPr="00000000">
        <w:rPr>
          <w:i w:val="1"/>
          <w:rtl w:val="0"/>
        </w:rPr>
        <w:t xml:space="preserve">equilibrate()</w:t>
      </w:r>
      <w:r w:rsidDel="00000000" w:rsidR="00000000" w:rsidRPr="00000000">
        <w:rPr>
          <w:rtl w:val="0"/>
        </w:rPr>
        <w:t xml:space="preserve"> function as follows: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firstLine="0"/>
        <w:jc w:val="center"/>
        <w:rPr/>
      </w:pPr>
      <w:r w:rsidDel="00000000" w:rsidR="00000000" w:rsidRPr="00000000">
        <w:rPr>
          <w:i w:val="1"/>
          <w:rtl w:val="0"/>
        </w:rPr>
        <w:t xml:space="preserve">outputGas = equilibrate(inputGas, ‘HP’)</w:t>
      </w:r>
      <w:r w:rsidDel="00000000" w:rsidR="00000000" w:rsidRPr="00000000">
        <w:rPr>
          <w:rtl w:val="0"/>
        </w:rPr>
      </w:r>
    </w:p>
    <w:p w:rsidR="00000000" w:rsidDel="00000000" w:rsidP="00000000" w:rsidRDefault="00000000" w:rsidRPr="00000000" w14:paraId="00000028">
      <w:pPr>
        <w:ind w:firstLine="0"/>
        <w:jc w:val="cente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…where </w:t>
      </w:r>
      <w:r w:rsidDel="00000000" w:rsidR="00000000" w:rsidRPr="00000000">
        <w:rPr>
          <w:i w:val="1"/>
          <w:rtl w:val="0"/>
        </w:rPr>
        <w:t xml:space="preserve">outputGas</w:t>
      </w:r>
      <w:r w:rsidDel="00000000" w:rsidR="00000000" w:rsidRPr="00000000">
        <w:rPr>
          <w:rtl w:val="0"/>
        </w:rPr>
        <w:t xml:space="preserve"> stores the gas object after the reaction, and </w:t>
      </w:r>
      <w:r w:rsidDel="00000000" w:rsidR="00000000" w:rsidRPr="00000000">
        <w:rPr>
          <w:i w:val="1"/>
          <w:rtl w:val="0"/>
        </w:rPr>
        <w:t xml:space="preserve">input</w:t>
      </w:r>
      <w:r w:rsidDel="00000000" w:rsidR="00000000" w:rsidRPr="00000000">
        <w:rPr>
          <w:rtl w:val="0"/>
        </w:rPr>
        <w:t xml:space="preserve"> gas is the gas at the initial temperature, pressure, composition, etc., and </w:t>
      </w:r>
      <w:r w:rsidDel="00000000" w:rsidR="00000000" w:rsidRPr="00000000">
        <w:rPr>
          <w:i w:val="1"/>
          <w:rtl w:val="0"/>
        </w:rPr>
        <w:t xml:space="preserve">‘HP’</w:t>
      </w:r>
      <w:r w:rsidDel="00000000" w:rsidR="00000000" w:rsidRPr="00000000">
        <w:rPr>
          <w:rtl w:val="0"/>
        </w:rPr>
        <w:t xml:space="preserve"> specifies fixed reaction at fixed enthalpy and pressure. The exhaust properties can then be obtained using functions such as </w:t>
      </w:r>
      <w:r w:rsidDel="00000000" w:rsidR="00000000" w:rsidRPr="00000000">
        <w:rPr>
          <w:i w:val="1"/>
          <w:rtl w:val="0"/>
        </w:rPr>
        <w:t xml:space="preserve">temperature(outputGas)</w:t>
      </w:r>
      <w:r w:rsidDel="00000000" w:rsidR="00000000" w:rsidRPr="00000000">
        <w:rPr>
          <w:rtl w:val="0"/>
        </w:rPr>
        <w:t xml:space="preserve">, </w:t>
      </w:r>
      <w:r w:rsidDel="00000000" w:rsidR="00000000" w:rsidRPr="00000000">
        <w:rPr>
          <w:i w:val="1"/>
          <w:rtl w:val="0"/>
        </w:rPr>
        <w:t xml:space="preserve">meanMolecularWeight(outputGas)</w:t>
      </w:r>
      <w:r w:rsidDel="00000000" w:rsidR="00000000" w:rsidRPr="00000000">
        <w:rPr>
          <w:rtl w:val="0"/>
        </w:rPr>
        <w:t xml:space="preserve">, </w:t>
      </w:r>
      <w:r w:rsidDel="00000000" w:rsidR="00000000" w:rsidRPr="00000000">
        <w:rPr>
          <w:i w:val="1"/>
          <w:rtl w:val="0"/>
        </w:rPr>
        <w:t xml:space="preserve">viscosity(outputGas)</w:t>
      </w:r>
      <w:r w:rsidDel="00000000" w:rsidR="00000000" w:rsidRPr="00000000">
        <w:rPr>
          <w:rtl w:val="0"/>
        </w:rPr>
        <w:t xml:space="preserve">, </w:t>
      </w:r>
      <w:r w:rsidDel="00000000" w:rsidR="00000000" w:rsidRPr="00000000">
        <w:rPr>
          <w:i w:val="1"/>
          <w:rtl w:val="0"/>
        </w:rPr>
        <w:t xml:space="preserve">thermalConductivity(outputGas)</w:t>
      </w:r>
      <w:r w:rsidDel="00000000" w:rsidR="00000000" w:rsidRPr="00000000">
        <w:rPr>
          <w:rtl w:val="0"/>
        </w:rPr>
        <w:t xml:space="preserve">, </w:t>
      </w:r>
      <w:r w:rsidDel="00000000" w:rsidR="00000000" w:rsidRPr="00000000">
        <w:rPr>
          <w:i w:val="1"/>
          <w:rtl w:val="0"/>
        </w:rPr>
        <w:t xml:space="preserve">cp_mass(outputGas)</w:t>
      </w:r>
      <w:r w:rsidDel="00000000" w:rsidR="00000000" w:rsidRPr="00000000">
        <w:rPr>
          <w:rtl w:val="0"/>
        </w:rPr>
        <w:t xml:space="preserve">, </w:t>
      </w:r>
      <w:r w:rsidDel="00000000" w:rsidR="00000000" w:rsidRPr="00000000">
        <w:rPr>
          <w:i w:val="1"/>
          <w:rtl w:val="0"/>
        </w:rPr>
        <w:t xml:space="preserve">cv_mass(outputGas)</w:t>
      </w:r>
      <w:r w:rsidDel="00000000" w:rsidR="00000000" w:rsidRPr="00000000">
        <w:rPr>
          <w:rtl w:val="0"/>
        </w:rPr>
        <w:t xml:space="preserve">, etc…</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spacing w:line="360" w:lineRule="auto"/>
        <w:ind w:firstLine="0"/>
        <w:jc w:val="center"/>
        <w:rPr>
          <w:u w:val="single"/>
        </w:rPr>
      </w:pPr>
      <w:bookmarkStart w:colFirst="0" w:colLast="0" w:name="_ok3tjbsz0gxc" w:id="2"/>
      <w:bookmarkEnd w:id="2"/>
      <w:r w:rsidDel="00000000" w:rsidR="00000000" w:rsidRPr="00000000">
        <w:rPr>
          <w:u w:val="single"/>
          <w:rtl w:val="0"/>
        </w:rPr>
        <w:t xml:space="preserve">References and Sources</w:t>
      </w:r>
    </w:p>
    <w:p w:rsidR="00000000" w:rsidDel="00000000" w:rsidP="00000000" w:rsidRDefault="00000000" w:rsidRPr="00000000" w14:paraId="0000002B">
      <w:pPr>
        <w:spacing w:line="360" w:lineRule="auto"/>
        <w:ind w:firstLine="0"/>
        <w:jc w:val="both"/>
        <w:rPr/>
      </w:pPr>
      <w:r w:rsidDel="00000000" w:rsidR="00000000" w:rsidRPr="00000000">
        <w:rPr>
          <w:rtl w:val="0"/>
        </w:rPr>
        <w:t xml:space="preserve">[1] </w:t>
      </w:r>
      <w:hyperlink r:id="rId8">
        <w:r w:rsidDel="00000000" w:rsidR="00000000" w:rsidRPr="00000000">
          <w:rPr>
            <w:color w:val="1155cc"/>
            <w:u w:val="single"/>
            <w:rtl w:val="0"/>
          </w:rPr>
          <w:t xml:space="preserve">Cantera GitHub Download</w:t>
        </w:r>
      </w:hyperlink>
      <w:r w:rsidDel="00000000" w:rsidR="00000000" w:rsidRPr="00000000">
        <w:rPr>
          <w:rtl w:val="0"/>
        </w:rPr>
      </w:r>
    </w:p>
    <w:p w:rsidR="00000000" w:rsidDel="00000000" w:rsidP="00000000" w:rsidRDefault="00000000" w:rsidRPr="00000000" w14:paraId="0000002C">
      <w:pPr>
        <w:spacing w:line="360" w:lineRule="auto"/>
        <w:ind w:firstLine="0"/>
        <w:jc w:val="both"/>
        <w:rPr/>
      </w:pPr>
      <w:r w:rsidDel="00000000" w:rsidR="00000000" w:rsidRPr="00000000">
        <w:rPr>
          <w:rtl w:val="0"/>
        </w:rPr>
        <w:t xml:space="preserve">[2] </w:t>
      </w:r>
      <w:hyperlink r:id="rId9">
        <w:r w:rsidDel="00000000" w:rsidR="00000000" w:rsidRPr="00000000">
          <w:rPr>
            <w:color w:val="1155cc"/>
            <w:u w:val="single"/>
            <w:rtl w:val="0"/>
          </w:rPr>
          <w:t xml:space="preserve">Cantera Gas Properties Documentation</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ntera.org/documentation/docs-2.6/sphinx/html/matlab/thermodynamics.html" TargetMode="External"/><Relationship Id="rId5" Type="http://schemas.openxmlformats.org/officeDocument/2006/relationships/styles" Target="styles.xml"/><Relationship Id="rId6" Type="http://schemas.openxmlformats.org/officeDocument/2006/relationships/hyperlink" Target="https://github.com/Cantera/cantera/releases" TargetMode="External"/><Relationship Id="rId7" Type="http://schemas.openxmlformats.org/officeDocument/2006/relationships/hyperlink" Target="https://cantera.org/documentation/docs-2.6/sphinx/html/matlab/thermodynamics.html" TargetMode="External"/><Relationship Id="rId8" Type="http://schemas.openxmlformats.org/officeDocument/2006/relationships/hyperlink" Target="https://github.com/Cantera/cantera/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