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image1.png" ContentType="image/png"/>
  <Override PartName="/word/media/image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integrationflow</w:t>
      </w:r>
    </w:p>
    <w:p>
      <w:pPr>
        <w:pStyle w:val="BodyText"/>
      </w:pPr>
      <w:r>
        <w:t xml:space="preserve">Technical Specification Document</w:t>
      </w:r>
    </w:p>
    <w:p>
      <w:pPr>
        <w:pStyle w:val="BodyText"/>
      </w:pPr>
    </w:p>
    <w:p>
      <w:pPr>
        <w:pStyle w:val="BodyText"/>
      </w:pPr>
      <w:r>
        <w:t xml:space="preserve">Author</w:t>
      </w:r>
    </w:p>
    <w:p>
      <w:pPr>
        <w:pStyle w:val="BodyText"/>
      </w:pPr>
      <w:r>
        <w:t xml:space="preserve">Sindhu</w:t>
      </w:r>
    </w:p>
    <w:p>
      <w:pPr>
        <w:pStyle w:val="BodyText"/>
      </w:pPr>
      <w:r>
        <w:t xml:space="preserve">Date</w:t>
      </w:r>
    </w:p>
    <w:p>
      <w:pPr>
        <w:pStyle w:val="BodyText"/>
      </w:pPr>
      <w:r>
        <w:t xml:space="preserve">2026-01-06</w:t>
      </w:r>
    </w:p>
    <w:p>
      <w:pPr>
        <w:pStyle w:val="BodyText"/>
      </w:pPr>
      <w:r>
        <w:t xml:space="preserve">Version</w:t>
      </w:r>
    </w:p>
    <w:p>
      <w:pPr>
        <w:pStyle w:val="BodyText"/>
      </w:pPr>
      <w:r>
        <w:t xml:space="preserve">1.0.0</w:t>
      </w:r>
    </w:p>
    <w:p>
      <w:pPr>
        <w:pStyle w:val="BodyText"/>
      </w:pPr>
      <w:r>
        <w:t xml:space="preserve">Table of Contents</w:t>
      </w:r>
    </w:p>
    <w:p>
      <w:pPr>
        <w:numPr>
          <w:ilvl w:val="0"/>
          <w:numId w:val="1001"/>
        </w:numPr>
        <w:pStyle w:val="Compact"/>
      </w:pPr>
      <w:r>
        <w:t xml:space="preserve">Introduction</w:t>
      </w:r>
      <w:r>
        <w:br/>
      </w:r>
    </w:p>
    <w:p>
      <w:pPr>
        <w:numPr>
          <w:ilvl w:val="0"/>
          <w:numId w:val="1001"/>
        </w:numPr>
        <w:pStyle w:val="Compact"/>
      </w:pPr>
      <w:r>
        <w:t xml:space="preserve">Integration Overview</w:t>
      </w:r>
      <w:r>
        <w:br/>
      </w:r>
    </w:p>
    <w:p>
      <w:pPr>
        <w:numPr>
          <w:ilvl w:val="0"/>
          <w:numId w:val="1001"/>
        </w:numPr>
        <w:pStyle w:val="Compact"/>
      </w:pPr>
      <w:r>
        <w:t xml:space="preserve">Integration Scenarios</w:t>
      </w:r>
      <w:r>
        <w:br/>
      </w:r>
    </w:p>
    <w:p>
      <w:pPr>
        <w:numPr>
          <w:ilvl w:val="0"/>
          <w:numId w:val="1001"/>
        </w:numPr>
        <w:pStyle w:val="Compact"/>
      </w:pPr>
      <w:r>
        <w:t xml:space="preserve">Error Handling and Logging</w:t>
      </w:r>
      <w:r>
        <w:br/>
      </w:r>
    </w:p>
    <w:p>
      <w:pPr>
        <w:numPr>
          <w:ilvl w:val="0"/>
          <w:numId w:val="1001"/>
        </w:numPr>
        <w:pStyle w:val="Compact"/>
      </w:pPr>
      <w:r>
        <w:t xml:space="preserve">Testing Validation</w:t>
      </w:r>
      <w:r>
        <w:br/>
      </w:r>
    </w:p>
    <w:p>
      <w:pPr>
        <w:numPr>
          <w:ilvl w:val="0"/>
          <w:numId w:val="1001"/>
        </w:numPr>
        <w:pStyle w:val="Compact"/>
      </w:pPr>
      <w:r>
        <w:t xml:space="preserve">Reference Documents</w:t>
      </w:r>
    </w:p>
    <w:bookmarkStart w:id="22" w:name="introduction"/>
    <w:p>
      <w:pPr>
        <w:pStyle w:val="Heading1"/>
      </w:pPr>
      <w:r>
        <w:t xml:space="preserve">1. Introduction</w:t>
      </w:r>
    </w:p>
    <w:bookmarkStart w:id="20" w:name="purpose"/>
    <w:p>
      <w:pPr>
        <w:pStyle w:val="Heading2"/>
      </w:pPr>
      <w:r>
        <w:t xml:space="preserve">1.1 Purpose</w:t>
      </w:r>
    </w:p>
    <w:p>
      <w:pPr>
        <w:pStyle w:val="FirstParagraph"/>
      </w:pPr>
      <w:r>
        <w:t xml:space="preserve">The purpose of this document is to provide a comprehensive overview of the iFlow named</w:t>
      </w:r>
      <w:r>
        <w:t xml:space="preserve"> </w:t>
      </w:r>
      <w:r>
        <w:t xml:space="preserve">‘</w:t>
      </w:r>
      <w:r>
        <w:t xml:space="preserve">integrationflow</w:t>
      </w:r>
      <w:r>
        <w:t xml:space="preserve">’</w:t>
      </w:r>
      <w:r>
        <w:t xml:space="preserve">, detailing its integration architecture, components, scenarios, error handling, and testing validation.</w:t>
      </w:r>
    </w:p>
    <w:bookmarkEnd w:id="20"/>
    <w:bookmarkStart w:id="21" w:name="scope"/>
    <w:p>
      <w:pPr>
        <w:pStyle w:val="Heading2"/>
      </w:pPr>
      <w:r>
        <w:t xml:space="preserve">1.2 Scope</w:t>
      </w:r>
    </w:p>
    <w:p>
      <w:pPr>
        <w:pStyle w:val="FirstParagraph"/>
      </w:pPr>
      <w:r>
        <w:t xml:space="preserve">This document covers the integration flow</w:t>
      </w:r>
      <w:r>
        <w:t xml:space="preserve"> </w:t>
      </w:r>
      <w:r>
        <w:t xml:space="preserve">‘</w:t>
      </w:r>
      <w:r>
        <w:t xml:space="preserve">integrationflow</w:t>
      </w:r>
      <w:r>
        <w:t xml:space="preserve">’</w:t>
      </w:r>
      <w:r>
        <w:t xml:space="preserve"> </w:t>
      </w:r>
      <w:r>
        <w:t xml:space="preserve">within the SAP Cloud Platform Integration (CPI) environment, including its design, implementation, and operational aspects.</w:t>
      </w:r>
    </w:p>
    <w:bookmarkEnd w:id="21"/>
    <w:bookmarkEnd w:id="22"/>
    <w:bookmarkStart w:id="25" w:name="integration-overview"/>
    <w:p>
      <w:pPr>
        <w:pStyle w:val="Heading1"/>
      </w:pPr>
      <w:r>
        <w:t xml:space="preserve">2. Integration Overview</w:t>
      </w:r>
    </w:p>
    <w:bookmarkStart w:id="23" w:name="integration-architecture"/>
    <w:p>
      <w:pPr>
        <w:pStyle w:val="Heading2"/>
      </w:pPr>
      <w:r>
        <w:t xml:space="preserve">2.1 Integration Architecture</w:t>
      </w:r>
    </w:p>
    <w:p>
      <w:pPr>
        <w:pStyle w:val="FirstParagraph"/>
      </w:pPr>
      <w:r>
        <w:t xml:space="preserve">The integration architecture consists of multiple participants including SuccessFactors (SF) and various receivers for personal data, resignations, and cost centers. The architecture utilizes message flows to facilitate communication between these components.</w:t>
      </w:r>
    </w:p>
    <w:bookmarkEnd w:id="23"/>
    <w:bookmarkStart w:id="24" w:name="integration-components"/>
    <w:p>
      <w:pPr>
        <w:pStyle w:val="Heading2"/>
      </w:pPr>
      <w:r>
        <w:t xml:space="preserve">2.2 Integration Components</w:t>
      </w:r>
    </w:p>
    <w:p>
      <w:pPr>
        <w:numPr>
          <w:ilvl w:val="0"/>
          <w:numId w:val="1002"/>
        </w:numPr>
        <w:pStyle w:val="Compact"/>
      </w:pPr>
      <w:r>
        <w:rPr>
          <w:bCs/>
          <w:b/>
        </w:rPr>
        <w:t xml:space="preserve">Participants</w:t>
      </w:r>
      <w:r>
        <w:t xml:space="preserve">:</w:t>
      </w:r>
    </w:p>
    <w:p>
      <w:pPr>
        <w:numPr>
          <w:ilvl w:val="1"/>
          <w:numId w:val="1003"/>
        </w:numPr>
        <w:pStyle w:val="Compact"/>
      </w:pPr>
      <w:r>
        <w:t xml:space="preserve">SF</w:t>
      </w:r>
    </w:p>
    <w:p>
      <w:pPr>
        <w:numPr>
          <w:ilvl w:val="1"/>
          <w:numId w:val="1003"/>
        </w:numPr>
        <w:pStyle w:val="Compact"/>
      </w:pPr>
      <w:r>
        <w:t xml:space="preserve">SF_Receiver_Perpersonal</w:t>
      </w:r>
    </w:p>
    <w:p>
      <w:pPr>
        <w:numPr>
          <w:ilvl w:val="1"/>
          <w:numId w:val="1003"/>
        </w:numPr>
        <w:pStyle w:val="Compact"/>
      </w:pPr>
      <w:r>
        <w:t xml:space="preserve">SF_Receiver_Resignations</w:t>
      </w:r>
    </w:p>
    <w:p>
      <w:pPr>
        <w:numPr>
          <w:ilvl w:val="1"/>
          <w:numId w:val="1003"/>
        </w:numPr>
        <w:pStyle w:val="Compact"/>
      </w:pPr>
      <w:r>
        <w:t xml:space="preserve">SF_Receiver_CostCentres</w:t>
      </w:r>
    </w:p>
    <w:p>
      <w:pPr>
        <w:numPr>
          <w:ilvl w:val="1"/>
          <w:numId w:val="1003"/>
        </w:numPr>
        <w:pStyle w:val="Compact"/>
      </w:pPr>
      <w:r>
        <w:t xml:space="preserve">Receiver1</w:t>
      </w:r>
    </w:p>
    <w:p>
      <w:pPr>
        <w:numPr>
          <w:ilvl w:val="1"/>
          <w:numId w:val="1003"/>
        </w:numPr>
        <w:pStyle w:val="Compact"/>
      </w:pPr>
      <w:r>
        <w:t xml:space="preserve">Receiver3</w:t>
      </w:r>
    </w:p>
    <w:p>
      <w:pPr>
        <w:numPr>
          <w:ilvl w:val="0"/>
          <w:numId w:val="1002"/>
        </w:numPr>
        <w:pStyle w:val="Compact"/>
      </w:pPr>
      <w:r>
        <w:rPr>
          <w:bCs/>
          <w:b/>
        </w:rPr>
        <w:t xml:space="preserve">Processes</w:t>
      </w:r>
      <w:r>
        <w:t xml:space="preserve">:</w:t>
      </w:r>
    </w:p>
    <w:p>
      <w:pPr>
        <w:numPr>
          <w:ilvl w:val="1"/>
          <w:numId w:val="1004"/>
        </w:numPr>
        <w:pStyle w:val="Compact"/>
      </w:pPr>
      <w:r>
        <w:t xml:space="preserve">GetAllPerPersonal</w:t>
      </w:r>
    </w:p>
    <w:p>
      <w:pPr>
        <w:numPr>
          <w:ilvl w:val="1"/>
          <w:numId w:val="1004"/>
        </w:numPr>
        <w:pStyle w:val="Compact"/>
      </w:pPr>
      <w:r>
        <w:t xml:space="preserve">GetAllResignations</w:t>
      </w:r>
    </w:p>
    <w:p>
      <w:pPr>
        <w:numPr>
          <w:ilvl w:val="1"/>
          <w:numId w:val="1004"/>
        </w:numPr>
        <w:pStyle w:val="Compact"/>
      </w:pPr>
      <w:r>
        <w:t xml:space="preserve">GetAllCostCentres</w:t>
      </w:r>
    </w:p>
    <w:p>
      <w:pPr>
        <w:numPr>
          <w:ilvl w:val="1"/>
          <w:numId w:val="1004"/>
        </w:numPr>
        <w:pStyle w:val="Compact"/>
      </w:pPr>
      <w:r>
        <w:t xml:space="preserve">Integration Process</w:t>
      </w:r>
    </w:p>
    <w:bookmarkEnd w:id="24"/>
    <w:bookmarkEnd w:id="25"/>
    <w:bookmarkStart w:id="29" w:name="integration-scenarios"/>
    <w:p>
      <w:pPr>
        <w:pStyle w:val="Heading1"/>
      </w:pPr>
      <w:r>
        <w:t xml:space="preserve">3. Integration Scenarios</w:t>
      </w:r>
    </w:p>
    <w:bookmarkStart w:id="26" w:name="scenario-description"/>
    <w:p>
      <w:pPr>
        <w:pStyle w:val="Heading2"/>
      </w:pPr>
      <w:r>
        <w:t xml:space="preserve">3.1 Scenario Description</w:t>
      </w:r>
    </w:p>
    <w:p>
      <w:pPr>
        <w:pStyle w:val="FirstParagraph"/>
      </w:pPr>
      <w:r>
        <w:t xml:space="preserve">The integration flow handles data retrieval from SuccessFactors and sends it to various receivers based on specific business requirements, such as personal information, resignations, and cost centers.</w:t>
      </w:r>
    </w:p>
    <w:bookmarkEnd w:id="26"/>
    <w:bookmarkStart w:id="27" w:name="data-flows"/>
    <w:p>
      <w:pPr>
        <w:pStyle w:val="Heading2"/>
      </w:pPr>
      <w:r>
        <w:t xml:space="preserve">3.2 Data Flows</w:t>
      </w:r>
    </w:p>
    <w:p>
      <w:pPr>
        <w:numPr>
          <w:ilvl w:val="0"/>
          <w:numId w:val="1005"/>
        </w:numPr>
        <w:pStyle w:val="Compact"/>
      </w:pPr>
      <w:r>
        <w:rPr>
          <w:bCs/>
          <w:b/>
        </w:rPr>
        <w:t xml:space="preserve">SuccessFactors to SF_Receiver_Perpersonal</w:t>
      </w:r>
      <w:r>
        <w:t xml:space="preserve">: Retrieves personal data.</w:t>
      </w:r>
    </w:p>
    <w:p>
      <w:pPr>
        <w:numPr>
          <w:ilvl w:val="0"/>
          <w:numId w:val="1005"/>
        </w:numPr>
        <w:pStyle w:val="Compact"/>
      </w:pPr>
      <w:r>
        <w:rPr>
          <w:bCs/>
          <w:b/>
        </w:rPr>
        <w:t xml:space="preserve">SuccessFactors to SF_Receiver_Resignations</w:t>
      </w:r>
      <w:r>
        <w:t xml:space="preserve">: Retrieves resignation data.</w:t>
      </w:r>
    </w:p>
    <w:p>
      <w:pPr>
        <w:numPr>
          <w:ilvl w:val="0"/>
          <w:numId w:val="1005"/>
        </w:numPr>
        <w:pStyle w:val="Compact"/>
      </w:pPr>
      <w:r>
        <w:rPr>
          <w:bCs/>
          <w:b/>
        </w:rPr>
        <w:t xml:space="preserve">SuccessFactors to SF_Receiver_CostCentres</w:t>
      </w:r>
      <w:r>
        <w:t xml:space="preserve">: Retrieves cost center data.</w:t>
      </w:r>
    </w:p>
    <w:p>
      <w:pPr>
        <w:numPr>
          <w:ilvl w:val="0"/>
          <w:numId w:val="1005"/>
        </w:numPr>
        <w:pStyle w:val="Compact"/>
      </w:pPr>
      <w:r>
        <w:rPr>
          <w:bCs/>
          <w:b/>
        </w:rPr>
        <w:t xml:space="preserve">SOAP communication with Receiver1</w:t>
      </w:r>
      <w:r>
        <w:t xml:space="preserve">: Handles SOAP requests and responses.</w:t>
      </w:r>
    </w:p>
    <w:bookmarkEnd w:id="27"/>
    <w:bookmarkStart w:id="28" w:name="security-requirements"/>
    <w:p>
      <w:pPr>
        <w:pStyle w:val="Heading2"/>
      </w:pPr>
      <w:r>
        <w:t xml:space="preserve">3.3 Security Requirements</w:t>
      </w:r>
    </w:p>
    <w:p>
      <w:pPr>
        <w:numPr>
          <w:ilvl w:val="0"/>
          <w:numId w:val="1006"/>
        </w:numPr>
        <w:pStyle w:val="Compact"/>
      </w:pPr>
      <w:r>
        <w:t xml:space="preserve">Authentication methods include Basic and OAuth.</w:t>
      </w:r>
    </w:p>
    <w:p>
      <w:pPr>
        <w:numPr>
          <w:ilvl w:val="0"/>
          <w:numId w:val="1006"/>
        </w:numPr>
        <w:pStyle w:val="Compact"/>
      </w:pPr>
      <w:r>
        <w:t xml:space="preserve">Secure communication protocols (HTTPS) are enforced.</w:t>
      </w:r>
    </w:p>
    <w:p>
      <w:pPr>
        <w:numPr>
          <w:ilvl w:val="0"/>
          <w:numId w:val="1006"/>
        </w:numPr>
        <w:pStyle w:val="Compact"/>
      </w:pPr>
      <w:r>
        <w:t xml:space="preserve">Proper handling of sensitive data through encryption and access controls.</w:t>
      </w:r>
    </w:p>
    <w:bookmarkEnd w:id="28"/>
    <w:bookmarkEnd w:id="29"/>
    <w:bookmarkStart w:id="30" w:name="error-handling-and-logging"/>
    <w:p>
      <w:pPr>
        <w:pStyle w:val="Heading1"/>
      </w:pPr>
      <w:r>
        <w:t xml:space="preserve">4. Error Handling and Logging</w:t>
      </w:r>
    </w:p>
    <w:p>
      <w:pPr>
        <w:pStyle w:val="FirstParagraph"/>
      </w:pPr>
      <w:r>
        <w:t xml:space="preserve">Error handling is managed through a dedicated subprocess that logs errors and exceptions. The integration flow captures all events and logs them for monitoring and troubleshooting purposes.</w:t>
      </w:r>
    </w:p>
    <w:bookmarkEnd w:id="30"/>
    <w:bookmarkStart w:id="31" w:name="testing-validation"/>
    <w:p>
      <w:pPr>
        <w:pStyle w:val="Heading1"/>
      </w:pPr>
      <w:r>
        <w:t xml:space="preserve">5. Testing Validation</w:t>
      </w:r>
    </w:p>
    <w:tbl>
      <w:tblPr>
        <w:tblStyle w:val="Table"/>
        <w:tblW w:type="pct" w:w="5000"/>
        <w:tblLook w:firstRow="1" w:lastRow="0" w:firstColumn="0" w:lastColumn="0" w:noHBand="0" w:noVBand="0" w:val="0020"/>
        <w:jc w:val="start"/>
      </w:tblPr>
      <w:tblGrid>
        <w:gridCol w:w="1076"/>
        <w:gridCol w:w="2691"/>
        <w:gridCol w:w="4152"/>
      </w:tblGrid>
      <w:tr>
        <w:trPr>
          <w:tblHeader w:val="true"/>
        </w:trPr>
        <w:tc>
          <w:tcPr/>
          <w:p>
            <w:pPr>
              <w:pStyle w:val="Compact"/>
              <w:jc w:val="left"/>
            </w:pPr>
            <w:r>
              <w:t xml:space="preserve">Test Case ID</w:t>
            </w:r>
          </w:p>
        </w:tc>
        <w:tc>
          <w:tcPr/>
          <w:p>
            <w:pPr>
              <w:pStyle w:val="Compact"/>
              <w:jc w:val="left"/>
            </w:pPr>
            <w:r>
              <w:t xml:space="preserve">Scenario</w:t>
            </w:r>
          </w:p>
        </w:tc>
        <w:tc>
          <w:tcPr/>
          <w:p>
            <w:pPr>
              <w:pStyle w:val="Compact"/>
              <w:jc w:val="left"/>
            </w:pPr>
            <w:r>
              <w:t xml:space="preserve">Expected Outcome</w:t>
            </w:r>
          </w:p>
        </w:tc>
      </w:tr>
      <w:tr>
        <w:tc>
          <w:tcPr/>
          <w:p>
            <w:pPr>
              <w:pStyle w:val="Compact"/>
              <w:jc w:val="left"/>
            </w:pPr>
            <w:r>
              <w:t xml:space="preserve">TC_001</w:t>
            </w:r>
          </w:p>
        </w:tc>
        <w:tc>
          <w:tcPr/>
          <w:p>
            <w:pPr>
              <w:pStyle w:val="Compact"/>
              <w:jc w:val="left"/>
            </w:pPr>
            <w:r>
              <w:t xml:space="preserve">Retrieve Personal Data</w:t>
            </w:r>
          </w:p>
        </w:tc>
        <w:tc>
          <w:tcPr/>
          <w:p>
            <w:pPr>
              <w:pStyle w:val="Compact"/>
              <w:jc w:val="left"/>
            </w:pPr>
            <w:r>
              <w:t xml:space="preserve">Successfully retrieves and logs personal data.</w:t>
            </w:r>
          </w:p>
        </w:tc>
      </w:tr>
      <w:tr>
        <w:tc>
          <w:tcPr/>
          <w:p>
            <w:pPr>
              <w:pStyle w:val="Compact"/>
              <w:jc w:val="left"/>
            </w:pPr>
            <w:r>
              <w:t xml:space="preserve">TC_002</w:t>
            </w:r>
          </w:p>
        </w:tc>
        <w:tc>
          <w:tcPr/>
          <w:p>
            <w:pPr>
              <w:pStyle w:val="Compact"/>
              <w:jc w:val="left"/>
            </w:pPr>
            <w:r>
              <w:t xml:space="preserve">Retrieve Resignation Data</w:t>
            </w:r>
          </w:p>
        </w:tc>
        <w:tc>
          <w:tcPr/>
          <w:p>
            <w:pPr>
              <w:pStyle w:val="Compact"/>
              <w:jc w:val="left"/>
            </w:pPr>
            <w:r>
              <w:t xml:space="preserve">Successfully retrieves and logs resignation data.</w:t>
            </w:r>
          </w:p>
        </w:tc>
      </w:tr>
      <w:tr>
        <w:tc>
          <w:tcPr/>
          <w:p>
            <w:pPr>
              <w:pStyle w:val="Compact"/>
              <w:jc w:val="left"/>
            </w:pPr>
            <w:r>
              <w:t xml:space="preserve">TC_003</w:t>
            </w:r>
          </w:p>
        </w:tc>
        <w:tc>
          <w:tcPr/>
          <w:p>
            <w:pPr>
              <w:pStyle w:val="Compact"/>
              <w:jc w:val="left"/>
            </w:pPr>
            <w:r>
              <w:t xml:space="preserve">Retrieve Cost Center Data</w:t>
            </w:r>
          </w:p>
        </w:tc>
        <w:tc>
          <w:tcPr/>
          <w:p>
            <w:pPr>
              <w:pStyle w:val="Compact"/>
              <w:jc w:val="left"/>
            </w:pPr>
            <w:r>
              <w:t xml:space="preserve">Successfully retrieves and logs cost center data.</w:t>
            </w:r>
          </w:p>
        </w:tc>
      </w:tr>
      <w:tr>
        <w:tc>
          <w:tcPr/>
          <w:p>
            <w:pPr>
              <w:pStyle w:val="Compact"/>
              <w:jc w:val="left"/>
            </w:pPr>
            <w:r>
              <w:t xml:space="preserve">TC_004</w:t>
            </w:r>
          </w:p>
        </w:tc>
        <w:tc>
          <w:tcPr/>
          <w:p>
            <w:pPr>
              <w:pStyle w:val="Compact"/>
              <w:jc w:val="left"/>
            </w:pPr>
            <w:r>
              <w:t xml:space="preserve">SOAP Request to Receiver1</w:t>
            </w:r>
          </w:p>
        </w:tc>
        <w:tc>
          <w:tcPr/>
          <w:p>
            <w:pPr>
              <w:pStyle w:val="Compact"/>
              <w:jc w:val="left"/>
            </w:pPr>
            <w:r>
              <w:t xml:space="preserve">Successfully sends and receives SOAP response.</w:t>
            </w:r>
          </w:p>
        </w:tc>
      </w:tr>
      <w:tr>
        <w:tc>
          <w:tcPr/>
          <w:p>
            <w:pPr>
              <w:pStyle w:val="Compact"/>
              <w:jc w:val="left"/>
            </w:pPr>
            <w:r>
              <w:t xml:space="preserve">TC_005</w:t>
            </w:r>
          </w:p>
        </w:tc>
        <w:tc>
          <w:tcPr/>
          <w:p>
            <w:pPr>
              <w:pStyle w:val="Compact"/>
              <w:jc w:val="left"/>
            </w:pPr>
            <w:r>
              <w:t xml:space="preserve">Error Handling</w:t>
            </w:r>
          </w:p>
        </w:tc>
        <w:tc>
          <w:tcPr/>
          <w:p>
            <w:pPr>
              <w:pStyle w:val="Compact"/>
              <w:jc w:val="left"/>
            </w:pPr>
            <w:r>
              <w:t xml:space="preserve">Logs error details and continues processing.</w:t>
            </w:r>
          </w:p>
        </w:tc>
      </w:tr>
    </w:tbl>
    <w:bookmarkEnd w:id="31"/>
    <w:bookmarkStart w:id="32" w:name="reference-documents"/>
    <w:p>
      <w:pPr>
        <w:pStyle w:val="Heading1"/>
      </w:pPr>
      <w:r>
        <w:t xml:space="preserve">6. Reference Documents</w:t>
      </w:r>
    </w:p>
    <w:p>
      <w:pPr>
        <w:numPr>
          <w:ilvl w:val="0"/>
          <w:numId w:val="1007"/>
        </w:numPr>
        <w:pStyle w:val="Compact"/>
      </w:pPr>
      <w:r>
        <w:t xml:space="preserve">SAP Cloud Platform Integration Documentation</w:t>
      </w:r>
    </w:p>
    <w:p>
      <w:pPr>
        <w:numPr>
          <w:ilvl w:val="0"/>
          <w:numId w:val="1007"/>
        </w:numPr>
        <w:pStyle w:val="Compact"/>
      </w:pPr>
      <w:r>
        <w:t xml:space="preserve">SuccessFactors API Documentation</w:t>
      </w:r>
    </w:p>
    <w:p>
      <w:pPr>
        <w:numPr>
          <w:ilvl w:val="0"/>
          <w:numId w:val="1007"/>
        </w:numPr>
        <w:pStyle w:val="Compact"/>
      </w:pPr>
      <w:r>
        <w:t xml:space="preserve">Internal Integration Standards and Guidelines</w:t>
      </w:r>
    </w:p>
    <w:bookmarkEnd w:id="32"/>
    <w:sectPr w:rsidR="00FC693F" w:rsidRPr="0006063C" w:rsidSect="00034616">
      <w:headerReference r:id="rId9" w:type="default"/>
      <w:footerReference r:id="rId10" w:type="default"/>
      <w:pgSz w:h="15840" w:w="12240"/>
      <w:pgMar w:bottom="1440" w:footer="720" w:gutter="0" w:header="720" w:left="1800" w:right="180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instrText>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tblLayout w:type="fixed"/>
      <w:tblLook w:firstColumn="1" w:firstRow="1" w:lastColumn="0" w:lastRow="0" w:noHBand="0" w:noVBand="1" w:val="04A0"/>
    </w:tblPr>
    <w:tblGrid>
      <w:gridCol w:w="4535"/>
      <w:gridCol w:w="4535"/>
    </w:tblGrid>
    <w:tr>
      <w:tc>
        <w:tcPr>
          <w:tcW w:type="dxa" w:w="4535"/>
        </w:tcPr>
        <w:p>
          <w:pPr>
            <w:jc w:val="left"/>
          </w:pPr>
          <w:r>
            <w:drawing>
              <wp:inline xmlns:a="http://schemas.openxmlformats.org/drawingml/2006/main" xmlns:pic="http://schemas.openxmlformats.org/drawingml/2006/picture">
                <wp:extent cx="1260000" cy="1260000"/>
                <wp:docPr id="1" name="Picture 1"/>
                <wp:cNvGraphicFramePr>
                  <a:graphicFrameLocks noChangeAspect="1"/>
                </wp:cNvGraphicFramePr>
                <a:graphic>
                  <a:graphicData uri="http://schemas.openxmlformats.org/drawingml/2006/picture">
                    <pic:pic>
                      <pic:nvPicPr>
                        <pic:cNvPr id="0" name="sap.png"/>
                        <pic:cNvPicPr/>
                      </pic:nvPicPr>
                      <pic:blipFill>
                        <a:blip r:embed="rId1"/>
                        <a:stretch>
                          <a:fillRect/>
                        </a:stretch>
                      </pic:blipFill>
                      <pic:spPr>
                        <a:xfrm>
                          <a:off x="0" y="0"/>
                          <a:ext cx="1260000" cy="1260000"/>
                        </a:xfrm>
                        <a:prstGeom prst="rect"/>
                      </pic:spPr>
                    </pic:pic>
                  </a:graphicData>
                </a:graphic>
              </wp:inline>
            </w:drawing>
          </w:r>
        </w:p>
      </w:tc>
      <w:tc>
        <w:tcPr>
          <w:tcW w:type="dxa" w:w="4535"/>
        </w:tcPr>
        <w:p>
          <w:pPr>
            <w:jc w:val="right"/>
          </w:pPr>
          <w:r>
            <w:drawing>
              <wp:inline xmlns:a="http://schemas.openxmlformats.org/drawingml/2006/main" xmlns:pic="http://schemas.openxmlformats.org/drawingml/2006/picture">
                <wp:extent cx="1620000" cy="1620000"/>
                <wp:docPr id="2" name="Picture 2"/>
                <wp:cNvGraphicFramePr>
                  <a:graphicFrameLocks noChangeAspect="1"/>
                </wp:cNvGraphicFramePr>
                <a:graphic>
                  <a:graphicData uri="http://schemas.openxmlformats.org/drawingml/2006/picture">
                    <pic:pic>
                      <pic:nvPicPr>
                        <pic:cNvPr id="0" name="motiveminds.png"/>
                        <pic:cNvPicPr/>
                      </pic:nvPicPr>
                      <pic:blipFill>
                        <a:blip r:embed="rId2"/>
                        <a:stretch>
                          <a:fillRect/>
                        </a:stretch>
                      </pic:blipFill>
                      <pic:spPr>
                        <a:xfrm>
                          <a:off x="0" y="0"/>
                          <a:ext cx="1620000" cy="1620000"/>
                        </a:xfrm>
                        <a:prstGeom prst="rect"/>
                      </pic:spPr>
                    </pic:pic>
                  </a:graphicData>
                </a:graphic>
              </wp:inline>
            </w:drawing>
          </w:r>
        </w:p>
      </w:tc>
    </w:tr>
  </w:tbl>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Theme="majorHAnsi" w:cstheme="majorBidi" w:eastAsiaTheme="majorEastAsia" w:hAnsiTheme="majorHAnsi"/>
      <w:b/>
      <w:bCs/>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2026-01-06T10:23:22Z</dcterms:created>
  <dcterms:modified xsi:type="dcterms:W3CDTF">2026-01-06T10:23:22Z</dcterms:modified>
</cp:coreProperties>
</file>

<file path=docProps/custom.xml><?xml version="1.0" encoding="utf-8"?>
<Properties xmlns="http://schemas.openxmlformats.org/officeDocument/2006/custom-properties" xmlns:vt="http://schemas.openxmlformats.org/officeDocument/2006/docPropsVTypes"/>
</file>