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integrationflow</w:t>
      </w:r>
    </w:p>
    <w:p>
      <w:pPr>
        <w:jc w:val="center"/>
      </w:pPr>
      <w:r>
        <w:t>Technical Specification Document</w:t>
      </w:r>
    </w:p>
    <w:p>
      <w:r>
        <w:br/>
      </w:r>
    </w:p>
    <w:p>
      <w:pPr>
        <w:jc w:val="center"/>
      </w:pPr>
      <w:r>
        <w:t>Author: AutoGenerated</w:t>
        <w:br/>
      </w:r>
      <w:r>
        <w:t>Date: 2026-01-05</w:t>
        <w:br/>
      </w:r>
      <w:r>
        <w:t>Version: 1.0.0</w:t>
      </w:r>
    </w:p>
    <w:p>
      <w:r>
        <w:br w:type="page"/>
      </w:r>
    </w:p>
    <w:p>
      <w:r>
        <w:t>&lt;h1 style="color: #1f4e79; font-size: 2.5em;"&gt;Table of Contents&lt;/h1&gt;</w:t>
      </w:r>
    </w:p>
    <w:p/>
    <w:p>
      <w:r>
        <w:t>1. Introduction &lt;br&gt;</w:t>
      </w:r>
    </w:p>
    <w:p>
      <w:r>
        <w:t>&amp;nbsp;&amp;nbsp;&lt;b style="color: #1f4e79;"&gt;1.1 Purpose&lt;/b&gt; &lt;br&gt;</w:t>
      </w:r>
    </w:p>
    <w:p>
      <w:r>
        <w:t>The purpose of this document is to provide a comprehensive technical specification for the SAP Cloud Platform Integration (CPI) scenario involving email communication through IMAP and SMTP protocols. This specification outlines the integration architecture, components, scenarios, error handling, and testing validation.</w:t>
      </w:r>
    </w:p>
    <w:p/>
    <w:p>
      <w:r>
        <w:t>&lt;br&gt;</w:t>
      </w:r>
    </w:p>
    <w:p/>
    <w:p>
      <w:r>
        <w:t>&amp;nbsp;&amp;nbsp;&lt;b style="color: #1f4e79;"&gt;1.2 Scope&lt;/b&gt; &lt;br&gt;</w:t>
      </w:r>
    </w:p>
    <w:p>
      <w:r>
        <w:t>This document covers the integration process between a sender and a receiver using email protocols. It includes the configuration of the integration flow, message flows, and the handling of attachments.</w:t>
      </w:r>
    </w:p>
    <w:p/>
    <w:p>
      <w:r>
        <w:t>&lt;br&gt;</w:t>
      </w:r>
    </w:p>
    <w:p/>
    <w:p>
      <w:r>
        <w:t>2. Integration Overview &lt;br&gt;</w:t>
      </w:r>
    </w:p>
    <w:p>
      <w:r>
        <w:t>&amp;nbsp;&amp;nbsp;&lt;b style="color: #1f4e79;"&gt;2.1 Integration Architecture&lt;/b&gt; &lt;br&gt;</w:t>
      </w:r>
    </w:p>
    <w:p>
      <w:r>
        <w:t>The integration architecture consists of a sender participant that retrieves emails using the IMAP protocol and a receiver participant that sends emails using the SMTP protocol. The integration process is managed through a defined BPMN process.</w:t>
      </w:r>
    </w:p>
    <w:p/>
    <w:p>
      <w:r>
        <w:t>&lt;br&gt;</w:t>
      </w:r>
    </w:p>
    <w:p/>
    <w:p>
      <w:r>
        <w:t>&amp;nbsp;&amp;nbsp;&lt;b style="color: #1f4e79;"&gt;2.2 Integration Components&lt;/b&gt; &lt;br&gt;</w:t>
      </w:r>
    </w:p>
    <w:p>
      <w:r>
        <w:t>- **Sender**: Configured to connect to the IMAP server (imap.gmail.com) to read emails.</w:t>
      </w:r>
    </w:p>
    <w:p>
      <w:r>
        <w:t>- **Receiver**: Configured to send emails via the SMTP server (smtp.gmail.com).</w:t>
      </w:r>
    </w:p>
    <w:p>
      <w:r>
        <w:t>- **Integration Process**: Manages the flow of data between the sender and receiver.</w:t>
      </w:r>
    </w:p>
    <w:p/>
    <w:p>
      <w:r>
        <w:t>&lt;br&gt;</w:t>
      </w:r>
    </w:p>
    <w:p/>
    <w:p>
      <w:r>
        <w:t>3. Integration Scenarios &lt;br&gt;</w:t>
      </w:r>
    </w:p>
    <w:p>
      <w:r>
        <w:t>&amp;nbsp;&amp;nbsp;&lt;b style="color: #1f4e79;"&gt;3.1 Scenario Description&lt;/b&gt; &lt;br&gt;</w:t>
      </w:r>
    </w:p>
    <w:p>
      <w:r>
        <w:t>The integration scenario involves reading unread emails from a Gmail inbox and sending them as attachments to a specified recipient.</w:t>
      </w:r>
    </w:p>
    <w:p/>
    <w:p>
      <w:r>
        <w:t>&lt;br&gt;</w:t>
      </w:r>
    </w:p>
    <w:p/>
    <w:p>
      <w:r>
        <w:t>&amp;nbsp;&amp;nbsp;&lt;b style="color: #1f4e79;"&gt;3.2 Data Flows&lt;/b&gt; &lt;br&gt;</w:t>
      </w:r>
    </w:p>
    <w:p>
      <w:r>
        <w:t>1. The sender retrieves unread emails from the Gmail inbox.</w:t>
      </w:r>
    </w:p>
    <w:p>
      <w:r>
        <w:t>2. The integration process processes the email content and prepares it for sending.</w:t>
      </w:r>
    </w:p>
    <w:p>
      <w:r>
        <w:t>3. The receiver sends the processed email to the specified recipient.</w:t>
      </w:r>
    </w:p>
    <w:p/>
    <w:p>
      <w:r>
        <w:t>&lt;br&gt;</w:t>
      </w:r>
    </w:p>
    <w:p/>
    <w:p>
      <w:r>
        <w:t>&amp;nbsp;&amp;nbsp;&lt;b style="color: #1f4e79;"&gt;3.3 Security Requirements&lt;/b&gt; &lt;br&gt;</w:t>
      </w:r>
    </w:p>
    <w:p>
      <w:r>
        <w:t>- Basic authentication is disabled for the sender.</w:t>
      </w:r>
    </w:p>
    <w:p>
      <w:r>
        <w:t>- Secure connections are established using SSL/TLS for both IMAP and SMTP protocols.</w:t>
      </w:r>
    </w:p>
    <w:p/>
    <w:p>
      <w:r>
        <w:t>&lt;br&gt;</w:t>
      </w:r>
    </w:p>
    <w:p/>
    <w:p>
      <w:r>
        <w:t>4. Error Handling and Logging &lt;br&gt;</w:t>
      </w:r>
    </w:p>
    <w:p>
      <w:r>
        <w:t>Error handling is implemented to log all events and exceptions. The integration flow is designed to return exceptions to the sender if any errors occur during processing.</w:t>
      </w:r>
    </w:p>
    <w:p/>
    <w:p>
      <w:r>
        <w:t>&lt;br&gt;</w:t>
      </w:r>
    </w:p>
    <w:p/>
    <w:p>
      <w:r>
        <w:t>5. Testing Validation &lt;br&gt;</w:t>
      </w:r>
    </w:p>
    <w:p>
      <w:r>
        <w:t>The following table outlines the test cases for validating the integration scenario:</w:t>
      </w:r>
    </w:p>
    <w:p/>
    <w:p>
      <w:r>
        <w:t>| Test Case ID | Scenario | Expected Outcome |</w:t>
      </w:r>
    </w:p>
    <w:p>
      <w:r>
        <w:t>|--------------|----------|------------------|</w:t>
      </w:r>
    </w:p>
    <w:p>
      <w:r>
        <w:t>| TC_001       | Retrieve unread emails | Emails are successfully retrieved from the inbox. |</w:t>
      </w:r>
    </w:p>
    <w:p>
      <w:r>
        <w:t>| TC_002       | Send email with attachment | Email is sent successfully with the specified attachment. |</w:t>
      </w:r>
    </w:p>
    <w:p>
      <w:r>
        <w:t>| TC_003       | Error handling | Errors are logged and exceptions are returned to the sender. |</w:t>
      </w:r>
    </w:p>
    <w:p/>
    <w:p>
      <w:r>
        <w:t>&lt;br&gt;</w:t>
      </w:r>
    </w:p>
    <w:p/>
    <w:p>
      <w:r>
        <w:t>6. Reference Documents &lt;br&gt;</w:t>
      </w:r>
    </w:p>
    <w:p>
      <w:r>
        <w:t>- SAP Cloud Platform Integration Documentation</w:t>
      </w:r>
    </w:p>
    <w:p>
      <w:r>
        <w:t>- BPMN 2.0 Specification</w:t>
      </w:r>
    </w:p>
    <w:p>
      <w:r>
        <w:t>- Email Protocols (IMAP/SMTP) Documentation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463040" cy="1463040"/>
          <wp:docPr id="1" name="Picture 1"/>
          <wp:cNvGraphicFramePr>
            <a:graphicFrameLocks noChangeAspect="1"/>
          </wp:cNvGraphicFramePr>
          <a:graphic>
            <a:graphicData uri="http://schemas.openxmlformats.org/drawingml/2006/picture">
              <pic:pic>
                <pic:nvPicPr>
                  <pic:cNvPr id="0" name="sap.png"/>
                  <pic:cNvPicPr/>
                </pic:nvPicPr>
                <pic:blipFill>
                  <a:blip r:embed="rId1"/>
                  <a:stretch>
                    <a:fillRect/>
                  </a:stretch>
                </pic:blipFill>
                <pic:spPr>
                  <a:xfrm>
                    <a:off x="0" y="0"/>
                    <a:ext cx="1463040" cy="1463040"/>
                  </a:xfrm>
                  <a:prstGeom prst="rect"/>
                </pic:spPr>
              </pic:pic>
            </a:graphicData>
          </a:graphic>
        </wp:inline>
      </w:drawing>
    </w:r>
    <w:r>
      <w:tab/>
      <w:tab/>
      <w:tab/>
      <w:tab/>
      <w:tab/>
      <w:tab/>
    </w:r>
    <w:r>
      <w:drawing>
        <wp:inline xmlns:a="http://schemas.openxmlformats.org/drawingml/2006/main" xmlns:pic="http://schemas.openxmlformats.org/drawingml/2006/picture">
          <wp:extent cx="1371600" cy="1371600"/>
          <wp:docPr id="2" name="Picture 2"/>
          <wp:cNvGraphicFramePr>
            <a:graphicFrameLocks noChangeAspect="1"/>
          </wp:cNvGraphicFramePr>
          <a:graphic>
            <a:graphicData uri="http://schemas.openxmlformats.org/drawingml/2006/picture">
              <pic:pic>
                <pic:nvPicPr>
                  <pic:cNvPr id="0" name="motiveminds.png"/>
                  <pic:cNvPicPr/>
                </pic:nvPicPr>
                <pic:blipFill>
                  <a:blip r:embed="rId2"/>
                  <a:stretch>
                    <a:fillRect/>
                  </a:stretch>
                </pic:blipFill>
                <pic:spPr>
                  <a:xfrm>
                    <a:off x="0" y="0"/>
                    <a:ext cx="1371600" cy="13716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