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democicd</w:t>
      </w:r>
    </w:p>
    <w:p>
      <w:r>
        <w:br/>
        <w:t>Author</w:t>
        <w:br/>
        <w:t>Sindhu</w:t>
      </w:r>
    </w:p>
    <w:p>
      <w:r>
        <w:br/>
        <w:t>Date</w:t>
        <w:br/>
        <w:t>2025-12-17</w:t>
      </w:r>
    </w:p>
    <w:p>
      <w:r>
        <w:br/>
        <w:t>Version</w:t>
        <w:br/>
        <w:t>Draft</w:t>
      </w:r>
    </w:p>
    <w:p>
      <w:r>
        <w:br w:type="page"/>
      </w:r>
    </w:p>
    <w:p>
      <w:pPr>
        <w:pStyle w:val="Heading1"/>
      </w:pPr>
      <w:r>
        <w:t>Table of Contents</w:t>
      </w:r>
    </w:p>
    <w:p>
      <w:r>
        <w:t>1. Introduction</w:t>
        <w:br/>
        <w:t xml:space="preserve">   1.1 Purpose</w:t>
        <w:br/>
        <w:t xml:space="preserve">   1.2 Scope</w:t>
        <w:br/>
        <w:br/>
        <w:t>2. Integration Overview</w:t>
        <w:br/>
        <w:t xml:space="preserve">   2.1 Integration Architecture</w:t>
        <w:br/>
        <w:t xml:space="preserve">   2.2 Integration Components</w:t>
        <w:br/>
        <w:br/>
        <w:t>3. Integration Scenarios</w:t>
        <w:br/>
        <w:t xml:space="preserve">   3.1 Scenario Description</w:t>
        <w:br/>
        <w:t xml:space="preserve">   3.2 Data Flows</w:t>
        <w:br/>
        <w:t xml:space="preserve">   3.3 Security Requirements</w:t>
        <w:br/>
        <w:br/>
        <w:t>4. Error Handling and Logging</w:t>
        <w:br/>
        <w:br/>
        <w:t>5. Testing Validation</w:t>
        <w:br/>
        <w:br/>
        <w:t>6. Reference Documents</w:t>
      </w:r>
    </w:p>
    <w:p>
      <w:r>
        <w:br w:type="page"/>
      </w:r>
    </w:p>
    <w:p>
      <w:pPr>
        <w:pStyle w:val="Heading2"/>
      </w:pPr>
      <w:r>
        <w:t>1.1 Purpose</w:t>
      </w:r>
    </w:p>
    <w:p>
      <w:r>
        <w:t>1.1 Purpose</w:t>
        <w:br/>
        <w:br/>
        <w:t>The purpose of this section is to outline the objectives and key deliverables associated with the SAP Cloud Platform Integration (SAP CPI) integration flow named 'democicd'. This integration flow serves as a critical component in facilitating seamless data exchange between various systems within our organization, ensuring that processes are automated and streamlined. The primary goals include enhancing operational efficiency, improving data accuracy, and enabling real-time communication among different business units.</w:t>
        <w:br/>
        <w:br/>
        <w:t>The democicd integration flow is designed to integrate multiple SAP systems, external applications, and cloud services by leveraging the robust capabilities of SAP CPI. This integration will support a wide range of use cases, from order processing and supply chain management to customer relationship management (CRM) and financial reporting. By implementing this integration flow, we aim to achieve a more cohesive and integrated business environment, thereby reducing manual intervention and minimizing errors.</w:t>
        <w:br/>
        <w:br/>
        <w:t>Furthermore, the democicd integration flow is intended to provide a scalable and flexible platform that can accommodate future changes in our business processes or external system requirements. The architecture will be designed with modularity in mind, allowing for easy updates and enhancements without disrupting existing operations. This approach ensures that the integration remains relevant and effective as our organization evolves.</w:t>
        <w:br/>
        <w:br/>
        <w:t>In summary, this section serves as a foundational document to guide the development and deployment of the democicd integration flow within SAP CPI, ensuring that all stakeholders have a clear understanding of its purpose, objectives, and expected outcomes.</w:t>
      </w:r>
    </w:p>
    <w:p>
      <w:pPr>
        <w:pStyle w:val="Heading2"/>
      </w:pPr>
      <w:r>
        <w:t>1.2 Scope</w:t>
      </w:r>
    </w:p>
    <w:p>
      <w:r>
        <w:t>1.2 Scope</w:t>
        <w:br/>
        <w:br/>
        <w:t>This section delineates the comprehensive scope of the implementation and operational behavior of the Customer Processing Interface (CPI) solution within our enterprise architecture. The scope encompasses internal processing logic, message flow, and operational behavior to ensure a clear understanding of how various components interact and function.</w:t>
        <w:br/>
        <w:br/>
        <w:t>The internal processing logic covers the intricate workflows and business rules that govern data transformation, validation, and error handling processes. These processes are critical for ensuring that incoming messages from external systems are accurately processed and integrated into our enterprise systems. The logic includes detailed steps such as message parsing, content transformation, and decision-making based on predefined business rules.</w:t>
        <w:br/>
        <w:br/>
        <w:t>Message flow within the CPI solution is designed to facilitate seamless communication between different system components. It outlines the sequence of events triggered by an inbound message, including the routing paths, intermediate processing steps, and final delivery to the target systems or databases. The flow diagram illustrates how messages are processed through various stages such as initial validation, content transformation, business rule evaluation, and finally, data storage or further transmission.</w:t>
        <w:br/>
        <w:br/>
        <w:t>Operational behavior encompasses the runtime characteristics of the CPI solution, including performance metrics, system availability, and security measures. It specifies the expected response times for different types of transactions, the failover mechanisms in place to ensure high availability, and the encryption protocols used to secure sensitive data during transit and at rest. Additionally, this section details the monitoring and logging capabilities that enable real-time tracking and troubleshooting of operational issues.</w:t>
        <w:br/>
        <w:br/>
        <w:t>Overall, the scope defined here provides a clear roadmap for understanding</w:t>
      </w:r>
    </w:p>
    <w:p>
      <w:pPr>
        <w:pStyle w:val="Heading2"/>
      </w:pPr>
      <w:r>
        <w:t>2.1 Integration Architecture</w:t>
      </w:r>
    </w:p>
    <w:p>
      <w:r>
        <w:t>2.1 Integration Architecture</w:t>
        <w:br/>
        <w:br/>
        <w:t>In the context of the iFlow operation within the 'Default Collaboration,' a robust integration architecture is pivotal for ensuring seamless communication and data exchange between the Sender, Receiver, and the Integration Process. The architecture leverages SAP Cloud Platform Integration (SAP CPI) to facilitate this interaction, employing various components such as adapters, processes, and gateways.</w:t>
        <w:br/>
        <w:br/>
        <w:t>The core of the integration architecture revolves around the iFlow, which acts as a central orchestrator for the entire process. An iFlow is a sequence of steps that define how data flows from one system to another. In our scenario, the iFlow is configured within the 'Default Collaboration' context, enabling it to interact with both the Sender and Receiver systems efficiently.</w:t>
        <w:br/>
        <w:br/>
        <w:t>Adapters play a crucial role in this architecture by providing connectivity between the iFlow and external systems. For instance, the Sender may use an HTTP adapter to send data over RESTful services, while the Receiver might utilize a JMS (Java Message Service) adapter for receiving messages from a messaging queue. These adapters ensure that the data is properly formatted and can be understood by both the sender and receiver systems.</w:t>
        <w:br/>
        <w:br/>
        <w:t>The Integration Process itself involves multiple steps within the iFlow, each designed to perform specific tasks such as transformation, validation, or decision-making based on business rules. For example, a step might involve transforming XML data into JSON format before sending it to the Receiver system. This process is orchestrated by the iFlow, which ensures that these steps are executed in the</w:t>
      </w:r>
    </w:p>
    <w:p>
      <w:pPr>
        <w:pStyle w:val="Heading2"/>
      </w:pPr>
      <w:r>
        <w:t>2.2 Integration Components</w:t>
      </w:r>
    </w:p>
    <w:p>
      <w:r>
        <w:t>Integration Components play a crucial role in the seamless execution of processes within the SAP Cloud Platform Integration (SAP CPI) environment. These components are essential for defining, implementing, and managing the flow from start events to end events through various processing activities.</w:t>
        <w:br/>
        <w:br/>
        <w:t>At the core of an integration process is the Start Event, which initiates the flow. This event can be triggered by a variety of sources such as a message received in a queue, a scheduled task, or even a manual trigger. The Start Event acts as the entry point for the integration flow and ensures that the subsequent processing activities are executed in the correct sequence.</w:t>
        <w:br/>
        <w:br/>
        <w:t>Following the Start Event, Processing Activities are where the actual business logic is implemented. These can include various types of transformations, such as mapping data from one format to another, applying business rules, or invoking external services via web services or HTTP requests. Each processing activity is designed to perform a specific task within the flow and contribute to the overall goal of the integration process.</w:t>
        <w:br/>
        <w:br/>
        <w:t>End Events serve as the conclusion points for the integration flows. They can be used to acknowledge successful completion, log information, send notifications, or even trigger further actions based on the outcome of the integration process. End Events are critical for ensuring that the system responds appropriately after processing is complete and provides feedback about the success or failure of the operation.</w:t>
        <w:br/>
        <w:br/>
        <w:t>In addition to these basic components, SAP CPI also supports advanced features such as error handling, retries, and compensation flows. Error Handling mechanisms allow the system to manage exceptions gracefully by providing fallback</w:t>
      </w:r>
    </w:p>
    <w:p>
      <w:pPr>
        <w:pStyle w:val="Heading2"/>
      </w:pPr>
      <w:r>
        <w:t>3.1 Scenario Description</w:t>
      </w:r>
    </w:p>
    <w:p>
      <w:r>
        <w:t>3.1 Scenario Description</w:t>
        <w:br/>
        <w:br/>
        <w:t>In this technical documentation, we delve into a detailed scenario of an integration flow within the SAP Customer Experience Integration (CPI) framework. The flow is designed to process and enrich messages before concluding with a successful end event. The sequence begins with a message start event, which triggers the execution of the entire workflow.</w:t>
        <w:br/>
        <w:br/>
        <w:t>The core of the integration flow involves the 'Content Modifier 1' activity, which plays a pivotal role in processing or enriching the incoming message. This activity leverages the powerful capabilities of SAP CPI to manipulate and enhance the content as per predefined rules and business logic. The enriched data can include additional fields, transformations, or modifications that are necessary for downstream processes.</w:t>
        <w:br/>
        <w:br/>
        <w:t>Upon successful completion of 'Content Modifier 1', the integration flow proceeds to its final step, an end event. This end event signifies the successful termination of the workflow without any errors or exceptions. It ensures that all processing steps have been executed as intended and that the message has been appropriately handled according to the defined business requirements.</w:t>
        <w:br/>
        <w:br/>
        <w:t>Throughout this process, SAP CPI's robust architecture facilitates seamless integration between various systems and services, ensuring data integrity and consistency. The use of content modifiers like 'Content Modifier 1' exemplifies how SAP CPI can be utilized to dynamically adjust and enrich messages in real-time, making it a versatile tool for complex enterprise integration scenarios.</w:t>
      </w:r>
    </w:p>
    <w:p>
      <w:pPr>
        <w:pStyle w:val="Heading2"/>
      </w:pPr>
      <w:r>
        <w:t>3.2 Data Flows</w:t>
      </w:r>
    </w:p>
    <w:p>
      <w:r>
        <w:t>Data flows within the SAP Cloud Platform Integration (SAP CPI) environment are critical for ensuring seamless communication and data exchange between various applications, services, and systems. These flows are orchestrated through a series of processing steps that are defined by the integration processes created in SAP CPI. Each step in the process is designed to handle specific tasks such as message transformation, validation, routing, or enrichment.</w:t>
        <w:br/>
        <w:br/>
        <w:t>The flow begins with the sender application initiating a request, which is then transformed into an integration message by the sending system's adapter. This message is sent over the network to the receiving system via the appropriate transport mechanism, such as HTTP, JMS, or FTP. Upon receipt, the incoming message triggers the first processing step in the defined integration process. This initial step could involve validation of the message structure and content against predefined rules, ensuring that only valid messages proceed further.</w:t>
        <w:br/>
        <w:br/>
        <w:t>Subsequent steps may include data transformation, where the message is modified to conform to the requirements of the receiving system or to integrate with other systems within the enterprise. Transformation can be performed using XSLT, Java scripts, or custom code developed for specific business logic needs. After transformation, the message might undergo additional validation checks before being routed to its final destination.</w:t>
        <w:br/>
        <w:br/>
        <w:t>Routing decisions are made based on predefined rules and conditions, which could include criteria such as message content, time of day, or system availability. The routing step ensures that messages are directed to the correct receiving systems or processes, maintaining data integrity and ensuring efficient processing. Upon successful delivery, confirmation</w:t>
      </w:r>
    </w:p>
    <w:p>
      <w:pPr>
        <w:pStyle w:val="Heading2"/>
      </w:pPr>
      <w:r>
        <w:t>3.3 Security Requirements</w:t>
      </w:r>
    </w:p>
    <w:p>
      <w:r>
        <w:t>3.3 Security Requirements</w:t>
        <w:br/>
        <w:br/>
        <w:t>Security within the Context of SAP Cloud Platform Integration (SAP CPI) is a critical aspect that ensures data integrity, confidentiality, and access control across various components. Security requirements are governed by both tenant configuration settings and adapter-level security mechanisms. Tenant administrators have the ability to define global security policies and configurations that apply to all adapters and services within their tenant environment. These configurations include authentication methods, authorization rules, and encryption settings.</w:t>
        <w:br/>
        <w:br/>
        <w:t>At the adapter level, each integration component can implement specific security measures tailored to its operational needs. For instance, SOAP-based adapters may require WSDL validation and mutual TLS for secure communication, while RESTful adapters might leverage OAuth 2.0 or JWT tokens for securing API access. Additionally, CPI supports various authentication mechanisms such as Basic Auth, SAML, and OAuth 2.0, allowing tenants to choose the most appropriate method based on their security policies.</w:t>
        <w:br/>
        <w:br/>
        <w:t>Authorization is managed through role-based access control (RBAC) and policy-based access control (PBAC). RBAC allows defining roles with specific permissions that can be assigned to users or groups, ensuring that only authorized personnel have access to sensitive data or operations. PBAC provides a more granular approach by allowing the definition of policies based on conditions such as time, location, or resource usage.</w:t>
        <w:br/>
        <w:br/>
        <w:t>Encryption is another critical security requirement in SAP CPI. Data at rest and in transit should be encrypted using industry-standard encryption protocols. CPI supports various encryption mechanisms, including TLS for secure communication channels and AES for</w:t>
      </w:r>
    </w:p>
    <w:p>
      <w:pPr>
        <w:pStyle w:val="Heading2"/>
      </w:pPr>
      <w:r>
        <w:t>4. Error Handling and Logging</w:t>
      </w:r>
    </w:p>
    <w:p>
      <w:r>
        <w:t>Error handling and logging are critical components of maintaining the reliability, performance, and security of an SAP Cloud Platform Integration (SAP CPI) environment. In a typical SAP CPI setup, standard monitoring and logging mechanisms play a pivotal role in identifying issues, diagnosing problems, and ensuring that integration processes run smoothly.</w:t>
        <w:br/>
        <w:br/>
        <w:t>The primary mechanism for error handling in SAP CPI involves the use of exception handlers within the process flows. These handlers are designed to catch and manage exceptions at various stages of the integration process. For instance, when an integration job encounters an error due to a service call failure or data validation issues, the corresponding exception handler is triggered. The handler can then log detailed information about the error, including the type of exception, timestamp, and relevant context variables, which are crucial for troubleshooting.</w:t>
        <w:br/>
        <w:br/>
        <w:t>SAP CPI leverages the logging framework provided by SAP Cloud Platform to record these events. Logs generated during integration processes provide a comprehensive view of system behavior, enabling administrators and developers to trace the flow of data and identify bottlenecks or anomalies. The logs can be configured to include different levels of detail, such as debug, info, warning, error, and critical messages, allowing for fine-grained control over what information is captured.</w:t>
        <w:br/>
        <w:br/>
        <w:t>To effectively manage errors and log events in SAP CPI, it is essential to follow best practices. These include setting up appropriate logging levels based on the severity of the event, ensuring that logs are stored securely and retained for an adequate period, and implementing alerting mechanisms to notify stakeholders when critical</w:t>
      </w:r>
    </w:p>
    <w:p>
      <w:pPr>
        <w:pStyle w:val="Heading2"/>
      </w:pPr>
      <w:r>
        <w:t>5. Testing Validation</w:t>
      </w:r>
    </w:p>
    <w:p>
      <w:r>
        <w:t>Testing Validation in the context of SAP Cloud Platform Integration (SAP CPI) is a critical phase that ensures the integration processes are functioning as expected. This section covers both execution validation and monitoring verification, which together provide comprehensive assurance that the integration flows meet the business requirements.</w:t>
        <w:br/>
        <w:br/>
        <w:t>Execution validation involves running test scenarios to verify that the integration processes behave correctly under various conditions. This includes testing for data integrity, error handling, and performance metrics. For instance, when deploying an integration flow, you might set up a test scenario where specific messages are sent through the flow to ensure they are processed accurately according to the defined rules. Additionally, validation tests should cover edge cases such as invalid or missing input data to ensure robustness.</w:t>
        <w:br/>
        <w:br/>
        <w:t>Monitoring verification focuses on continuously observing and validating the performance of the integration processes over time. This is typically done using SAP CPI's built-in monitoring tools and APIs. For example, you can configure alerts based on predefined thresholds for response times or error rates. Monitoring also involves tracking key performance indicators (KPIs) such as throughput, latency, and resource utilization to ensure that the integration flows are performing optimally under real-world conditions.</w:t>
        <w:br/>
        <w:br/>
        <w:t>To facilitate these testing activities, SAP CPI provides a comprehensive set of tools and APIs. The Integration Flow Designer allows you to create and test integration flows in a sandbox environment before deploying them to production. Once deployed, the Monitoring Console offers detailed insights into the flow's performance, enabling you to identify and address any issues promptly. Furthermore, SAP CPI supports logging and tracing capabilities</w:t>
      </w:r>
    </w:p>
    <w:p>
      <w:pPr>
        <w:pStyle w:val="Heading2"/>
      </w:pPr>
      <w:r>
        <w:t>6. Reference Documents</w:t>
      </w:r>
    </w:p>
    <w:p>
      <w:r>
        <w:t>Reference documents are critical for ensuring that the integration architecture and implementation adhere to best practices and align with SAP's standards. For this section, we will outline key reference materials that serve as a foundation for understanding and utilizing the SAP CPI Integration Suite effectively.</w:t>
        <w:br/>
        <w:br/>
        <w:t>The first set of reference documents includes the official SAP CPI Integration Suite manuals and guides. These provide comprehensive information on the installation, configuration, and administration of the integration suite. The "SAP CPI Integration Suite 2021L Installation Guide" offers detailed steps for setting up the environment, while the "SAP CPI Integration Suite 2021L Administration Guide" covers system management tasks such as user administration, security settings, and performance tuning.</w:t>
        <w:br/>
        <w:br/>
        <w:t>Another essential reference is the SAP CPI Integration Suite API Reference. This document details the various APIs available within the integration suite, including their parameters, return values, and usage scenarios. It serves as a vital resource for developers working on custom integrations or extending the functionality of existing processes.</w:t>
        <w:br/>
        <w:br/>
        <w:t>The "SAP CPI Integration Suite Best Practices" guide provides valuable insights into designing efficient and scalable integration solutions. This document covers topics such as data mapping strategies, error handling techniques, and performance optimization tips. By following these best practices, architects can ensure that their integrations are robust and meet business requirements effectively.</w:t>
        <w:br/>
        <w:br/>
        <w:t>For those working with specific technologies or protocols integrated within SAP CPI, the "SAP CPI Integration Suite Protocol-Specific Documentation" is an indispensable resource. This includes detailed guides for integrating with popular systems like Salesforce</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ook w:firstColumn="1" w:firstRow="1" w:lastColumn="0" w:lastRow="0" w:noHBand="0" w:noVBand="1" w:val="04A0"/>
    </w:tblPr>
    <w:tblGrid>
      <w:gridCol w:w="4320"/>
      <w:gridCol w:w="4320"/>
    </w:tblGrid>
    <w:tr>
      <w:tc>
        <w:tcPr>
          <w:tcW w:type="dxa" w:w="4320"/>
        </w:tcPr>
        <w:p>
          <w:r>
            <w:drawing>
              <wp:inline xmlns:a="http://schemas.openxmlformats.org/drawingml/2006/main" xmlns:pic="http://schemas.openxmlformats.org/drawingml/2006/picture">
                <wp:extent cx="1097280" cy="1097280"/>
                <wp:docPr id="1" name="Picture 1"/>
                <wp:cNvGraphicFramePr>
                  <a:graphicFrameLocks noChangeAspect="1"/>
                </wp:cNvGraphicFramePr>
                <a:graphic>
                  <a:graphicData uri="http://schemas.openxmlformats.org/drawingml/2006/picture">
                    <pic:pic>
                      <pic:nvPicPr>
                        <pic:cNvPr id="0" name="sap.png"/>
                        <pic:cNvPicPr/>
                      </pic:nvPicPr>
                      <pic:blipFill>
                        <a:blip r:embed="rId1"/>
                        <a:stretch>
                          <a:fillRect/>
                        </a:stretch>
                      </pic:blipFill>
                      <pic:spPr>
                        <a:xfrm>
                          <a:off x="0" y="0"/>
                          <a:ext cx="1097280" cy="1097280"/>
                        </a:xfrm>
                        <a:prstGeom prst="rect"/>
                      </pic:spPr>
                    </pic:pic>
                  </a:graphicData>
                </a:graphic>
              </wp:inline>
            </w:drawing>
          </w:r>
        </w:p>
      </w:tc>
      <w:tc>
        <w:tcPr>
          <w:tcW w:type="dxa" w:w="4320"/>
        </w:tcPr>
        <w:p>
          <w:pPr>
            <w:jc w:val="right"/>
          </w:pPr>
          <w:r>
            <w:drawing>
              <wp:inline xmlns:a="http://schemas.openxmlformats.org/drawingml/2006/main" xmlns:pic="http://schemas.openxmlformats.org/drawingml/2006/picture">
                <wp:extent cx="1371600" cy="1371600"/>
                <wp:docPr id="2" name="Picture 2"/>
                <wp:cNvGraphicFramePr>
                  <a:graphicFrameLocks noChangeAspect="1"/>
                </wp:cNvGraphicFramePr>
                <a:graphic>
                  <a:graphicData uri="http://schemas.openxmlformats.org/drawingml/2006/picture">
                    <pic:pic>
                      <pic:nvPicPr>
                        <pic:cNvPr id="0" name="motiveminds.png"/>
                        <pic:cNvPicPr/>
                      </pic:nvPicPr>
                      <pic:blipFill>
                        <a:blip r:embed="rId2"/>
                        <a:stretch>
                          <a:fillRect/>
                        </a:stretch>
                      </pic:blipFill>
                      <pic:spPr>
                        <a:xfrm>
                          <a:off x="0" y="0"/>
                          <a:ext cx="1371600" cy="1371600"/>
                        </a:xfrm>
                        <a:prstGeom prst="rect"/>
                      </pic:spPr>
                    </pic:pic>
                  </a:graphicData>
                </a:graphic>
              </wp:inline>
            </w:drawing>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