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864"/>
          <w:sz w:val="56"/>
        </w:rPr>
        <w:t>PRD_IF_EmployeeCreation_SF_to_S4_MDF_copy_100228</w:t>
      </w:r>
    </w:p>
    <w:p>
      <w:pPr>
        <w:jc w:val="center"/>
      </w:pPr>
      <w:r>
        <w:t>Technical Specification Document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Sindhu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0"/>
      </w:pPr>
      <w:r>
        <w:t>1. Introduction</w:t>
      </w:r>
    </w:p>
    <w:p>
      <w:pPr>
        <w:spacing w:after="0"/>
        <w:ind w:left="432"/>
      </w:pPr>
      <w:r>
        <w:t>1.1 Purpose</w:t>
      </w:r>
    </w:p>
    <w:p>
      <w:pPr>
        <w:spacing w:after="0"/>
        <w:ind w:left="432"/>
      </w:pPr>
      <w:r>
        <w:t>1.2 Scope</w:t>
      </w:r>
    </w:p>
    <w:p>
      <w:pPr>
        <w:spacing w:after="0"/>
      </w:pPr>
      <w:r>
        <w:t>2. Integration Overview</w:t>
      </w:r>
    </w:p>
    <w:p>
      <w:pPr>
        <w:spacing w:after="0"/>
        <w:ind w:left="432"/>
      </w:pPr>
      <w:r>
        <w:t>2.1 Integration Architecture</w:t>
      </w:r>
    </w:p>
    <w:p>
      <w:pPr>
        <w:spacing w:after="0"/>
        <w:ind w:left="432"/>
      </w:pPr>
      <w:r>
        <w:t>2.2 Integration Components</w:t>
      </w:r>
    </w:p>
    <w:p>
      <w:pPr>
        <w:spacing w:after="0"/>
      </w:pPr>
      <w:r>
        <w:t>3. Integration Scenarios</w:t>
      </w:r>
    </w:p>
    <w:p>
      <w:pPr>
        <w:spacing w:after="0"/>
        <w:ind w:left="432"/>
      </w:pPr>
      <w:r>
        <w:t>3.1 Scenario Description</w:t>
      </w:r>
    </w:p>
    <w:p>
      <w:pPr>
        <w:spacing w:after="0"/>
        <w:ind w:left="432"/>
      </w:pPr>
      <w:r>
        <w:t>3.2 Data Flows</w:t>
      </w:r>
    </w:p>
    <w:p>
      <w:pPr>
        <w:spacing w:after="0"/>
        <w:ind w:left="432"/>
      </w:pPr>
      <w:r>
        <w:t>3.3 Security Requirements</w:t>
      </w:r>
    </w:p>
    <w:p>
      <w:pPr>
        <w:spacing w:after="0"/>
      </w:pPr>
      <w:r>
        <w:t>4. Error Handling and Logging</w:t>
      </w:r>
    </w:p>
    <w:p>
      <w:pPr>
        <w:spacing w:after="0"/>
      </w:pPr>
      <w:r>
        <w:t>5. Testing Validation</w:t>
      </w:r>
    </w:p>
    <w:p>
      <w:pPr>
        <w:spacing w:after="0"/>
      </w:pPr>
      <w:r>
        <w:t>6. Reference Documents</w:t>
      </w:r>
    </w:p>
    <w:p>
      <w:r>
        <w:br w:type="page"/>
      </w:r>
    </w:p>
    <w:p>
      <w:pPr>
        <w:pStyle w:val="Heading1"/>
        <w:spacing w:before="240" w:after="120"/>
      </w:pPr>
      <w:r>
        <w:rPr>
          <w:color w:val="1F3864"/>
          <w:sz w:val="32"/>
        </w:rPr>
        <w:t>1. Introduction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1.1 Purpose</w:t>
      </w:r>
    </w:p>
    <w:p>
      <w:pPr>
        <w:spacing w:after="120"/>
      </w:pPr>
      <w:r>
        <w:t>To facilitate the transfer of employee creation data from SuccessFactors (SF) to SAP S/4HANA using a predefined integration flow (iFlow), ensuring accurate and timely data synchronization between the systems.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1.2 Scope</w:t>
      </w:r>
    </w:p>
    <w:p>
      <w:pPr>
        <w:spacing w:after="120"/>
      </w:pPr>
      <w:r>
        <w:t>This iFlow integrates employee creation events from SuccessFactors Employee Central into the SAP S/4HANA system. It includes mapping of relevant employee attributes and error handling for data discrepancies.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2. Integration Overview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2.1 Integration Architecture</w:t>
      </w:r>
    </w:p>
    <w:p>
      <w:pPr>
        <w:spacing w:after="120"/>
      </w:pPr>
      <w:r>
        <w:t>{'description': 'The architecture consists of SuccessFactors as the source system, SAP Cloud Platform Integration (CPI) as the middleware, and SAP S/4HANA as the target system. The iFlow handles message processing, transformation, and routing between these systems.', 'components': {'source_system': 'SAP SuccessFactors', 'middleware': 'SAP Cloud Platform Integration (CPI)', 'target_system': 'SAP S/4HANA'}}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2.2 Integration Components</w:t>
      </w:r>
    </w:p>
    <w:p>
      <w:pPr>
        <w:spacing w:after="120"/>
      </w:pPr>
      <w:r>
        <w:t>{'iFlow': 'PRD_IF_EmployeeCreation_SF_to_S4_MDF_copy_100228', 'communication_protocol': 'HTTPS', 'message_format': 'JSON or XML', 'transformation_tool': 'SAP CPI graphical mapping tools'}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3. Integration Scenarios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3.1 Scenario Description</w:t>
      </w:r>
    </w:p>
    <w:p>
      <w:pPr>
        <w:spacing w:after="120"/>
      </w:pPr>
      <w:r>
        <w:t>Triggered by an employee creation event in SuccessFactors, the iFlow retrieves data, performs necessary transformations, and sends the relevant employee information to S/4HANA for record creation and management.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3.2 Data Flows</w:t>
      </w:r>
    </w:p>
    <w:p>
      <w:pPr>
        <w:spacing w:after="120"/>
      </w:pPr>
      <w:r>
        <w:t>{'1': {'from': 'SuccessFactors', 'to': 'SAP CPI', 'event': 'Employee Creation', 'data_transformation': 'Mapping of employee attributes including name, email, job position, and department'}, '2': {'from': 'SAP CPI', 'to': 'SAP S/4HANA', 'event': 'Create Employee Record', 'data_format': 'JSON/XML'}}</w:t>
      </w:r>
    </w:p>
    <w:p>
      <w:pPr>
        <w:pStyle w:val="Heading2"/>
        <w:spacing w:before="240" w:after="120"/>
      </w:pPr>
      <w:r>
        <w:rPr>
          <w:color w:val="1F3864"/>
          <w:sz w:val="26"/>
        </w:rPr>
        <w:t>3.3 Security Requirements</w:t>
      </w:r>
    </w:p>
    <w:p>
      <w:pPr>
        <w:spacing w:after="120"/>
      </w:pPr>
      <w:r>
        <w:t>{'authentication': 'OAuth 2.0 for SAP SuccessFactors integration', 'encryption': 'TLS 1.2 for secure data transmission', 'access_control': 'Defined roles and permissions in SAP CPI and S/4HANA to limit data accessibility'}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4. Error Handling and Logging</w:t>
      </w:r>
    </w:p>
    <w:p>
      <w:pPr>
        <w:spacing w:after="120"/>
      </w:pPr>
      <w:r>
        <w:t>{'mechanism': 'Each stage of the iFlow includes error handling subprocesses that capture and log errors in data processing.', 'notification': 'Email alerts should be sent to system administrators for critical errors and retries are enabled for transient failures.'}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5. Testing Validation</w:t>
      </w:r>
    </w:p>
    <w:p>
      <w:pPr>
        <w:spacing w:after="120"/>
      </w:pPr>
      <w:r>
        <w:t>{'unit_testing': 'Testing individual components of the iFlow in isolation to ensure accurate functionality.', 'integration_testing': 'End-to-end testing between SuccessFactors and S/4HANA to verify data integrity and flow.', 'performance_testing': 'Testing system load capacity and response times during peak data processing events.'}</w:t>
      </w:r>
    </w:p>
    <w:p>
      <w:pPr>
        <w:pStyle w:val="Heading1"/>
        <w:spacing w:before="240" w:after="120"/>
      </w:pPr>
      <w:r>
        <w:rPr>
          <w:color w:val="1F3864"/>
          <w:sz w:val="32"/>
        </w:rPr>
        <w:t>6. Reference Documents</w:t>
      </w:r>
    </w:p>
    <w:p>
      <w:pPr>
        <w:spacing w:after="120"/>
      </w:pPr>
      <w:r>
        <w:t>{'SAP_CPI_documentation': 'https://help.sap.com/viewer/product/SAP_CLOUD_PLATFORM_INTEGRATION/2.0/en-US', 'SuccessFactors_API_guide': 'https://developer.successfactors.com/', 'S4HANA_integration_guide': 'https://help.sap.com/viewer/product/SAP_S4HANA_CLOUD/1902/en-US'}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otiveminds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