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flow-name-flow3"/>
    <w:p>
      <w:pPr>
        <w:pStyle w:val="Heading1"/>
      </w:pPr>
      <w:r>
        <w:t xml:space="preserve">Flow Name: flow3</w:t>
      </w:r>
    </w:p>
    <w:bookmarkStart w:id="20" w:name="business-purpose"/>
    <w:p>
      <w:pPr>
        <w:pStyle w:val="Heading2"/>
      </w:pPr>
      <w:r>
        <w:t xml:space="preserve">Business Purpose:</w:t>
      </w:r>
    </w:p>
    <w:p>
      <w:pPr>
        <w:pStyle w:val="FirstParagraph"/>
      </w:pPr>
      <w:r>
        <w:t xml:space="preserve">This iFlow flow operates in a collaboration context, managing communication between participants through HTTP or WebSocket connections. It handles requests and responses, ensuring response events are logged for traceability while allowing exceptions to be rethrown to the sender.</w:t>
      </w:r>
    </w:p>
    <w:bookmarkEnd w:id="20"/>
    <w:bookmarkStart w:id="21" w:name="high-level-technical-flow"/>
    <w:p>
      <w:pPr>
        <w:pStyle w:val="Heading2"/>
      </w:pPr>
      <w:r>
        <w:t xml:space="preserve">High-Level Technical Flow</w:t>
      </w:r>
    </w:p>
    <w:p>
      <w:pPr>
        <w:numPr>
          <w:ilvl w:val="0"/>
          <w:numId w:val="1001"/>
        </w:numPr>
        <w:pStyle w:val="Compact"/>
      </w:pPr>
      <w:r>
        <w:rPr>
          <w:bCs/>
          <w:b/>
        </w:rPr>
        <w:t xml:space="preserve">Request Handling:</w:t>
      </w:r>
      <w:r>
        <w:t xml:space="preserve"> </w:t>
      </w:r>
      <w:r>
        <w:t xml:space="preserve">Sends requests via HTTP/WS over</w:t>
      </w:r>
      <w:r>
        <w:t xml:space="preserve"> </w:t>
      </w:r>
      <w:r>
        <w:rPr>
          <w:rStyle w:val="VerbatimChar"/>
        </w:rPr>
        <w:t xml:space="preserve">httpSessionHandling</w:t>
      </w:r>
      <w:r>
        <w:t xml:space="preserve"> </w:t>
      </w:r>
      <w:r>
        <w:t xml:space="preserve">property.</w:t>
      </w:r>
    </w:p>
    <w:p>
      <w:pPr>
        <w:numPr>
          <w:ilvl w:val="0"/>
          <w:numId w:val="1001"/>
        </w:numPr>
        <w:pStyle w:val="Compact"/>
      </w:pPr>
      <w:r>
        <w:rPr>
          <w:bCs/>
          <w:b/>
        </w:rPr>
        <w:t xml:space="preserve">Response Processing:</w:t>
      </w:r>
      <w:r>
        <w:t xml:space="preserve"> </w:t>
      </w:r>
      <w:r>
        <w:t xml:space="preserve">Reads responses that may include error information, which is logged using</w:t>
      </w:r>
      <w:r>
        <w:t xml:space="preserve"> </w:t>
      </w:r>
      <w:r>
        <w:rPr>
          <w:rStyle w:val="VerbatimChar"/>
        </w:rPr>
        <w:t xml:space="preserve">log</w:t>
      </w:r>
      <w:r>
        <w:t xml:space="preserve">.</w:t>
      </w:r>
    </w:p>
    <w:p>
      <w:pPr>
        <w:numPr>
          <w:ilvl w:val="0"/>
          <w:numId w:val="1001"/>
        </w:numPr>
        <w:pStyle w:val="Compact"/>
      </w:pPr>
      <w:r>
        <w:rPr>
          <w:bCs/>
          <w:b/>
        </w:rPr>
        <w:t xml:space="preserve">Exception Handling:</w:t>
      </w:r>
      <w:r>
        <w:t xml:space="preserve"> </w:t>
      </w:r>
      <w:r>
        <w:t xml:space="preserve">Excludes errors from being returned to the sender by setting</w:t>
      </w:r>
      <w:r>
        <w:t xml:space="preserve"> </w:t>
      </w:r>
      <w:r>
        <w:rPr>
          <w:rStyle w:val="VerbatimChar"/>
        </w:rPr>
        <w:t xml:space="preserve">returnExceptionToSender</w:t>
      </w:r>
      <w:r>
        <w:t xml:space="preserve"> </w:t>
      </w:r>
      <w:r>
        <w:t xml:space="preserve">property.</w:t>
      </w:r>
    </w:p>
    <w:bookmarkEnd w:id="21"/>
    <w:bookmarkStart w:id="22" w:name="mermaid-diagram"/>
    <w:p>
      <w:pPr>
        <w:pStyle w:val="Heading2"/>
      </w:pPr>
      <w:r>
        <w:t xml:space="preserve">Mermaid Diagram</w:t>
      </w:r>
    </w:p>
    <w:p>
      <w:pPr>
        <w:pStyle w:val="FirstParagraph"/>
      </w:pPr>
      <w:r>
        <w:t xml:space="preserve">(Note: The diagram was empty as no steps were defined.)</w:t>
      </w:r>
    </w:p>
    <w:bookmarkEnd w:id="22"/>
    <w:bookmarkStart w:id="23" w:name="steps-explanation"/>
    <w:p>
      <w:pPr>
        <w:pStyle w:val="Heading2"/>
      </w:pPr>
      <w:r>
        <w:t xml:space="preserve">Steps Explanation</w:t>
      </w:r>
    </w:p>
    <w:p>
      <w:pPr>
        <w:numPr>
          <w:ilvl w:val="0"/>
          <w:numId w:val="1002"/>
        </w:numPr>
        <w:pStyle w:val="Compact"/>
      </w:pPr>
      <w:r>
        <w:t xml:space="preserve">(No specific steps yet, detailed in the diagram)</w:t>
      </w:r>
    </w:p>
    <w:bookmarkEnd w:id="23"/>
    <w:bookmarkStart w:id="24" w:name="scripts-mappings-summary"/>
    <w:p>
      <w:pPr>
        <w:pStyle w:val="Heading2"/>
      </w:pPr>
      <w:r>
        <w:t xml:space="preserve">Scripts &amp; Mappings Summary</w:t>
      </w:r>
    </w:p>
    <w:p>
      <w:pPr>
        <w:numPr>
          <w:ilvl w:val="0"/>
          <w:numId w:val="1003"/>
        </w:numPr>
        <w:pStyle w:val="Compact"/>
      </w:pPr>
      <w:r>
        <w:t xml:space="preserve">None defined for this flow due to lack of steps.</w:t>
      </w:r>
    </w:p>
    <w:bookmarkEnd w:id="24"/>
    <w:bookmarkStart w:id="25" w:name="exception-handling"/>
    <w:p>
      <w:pPr>
        <w:pStyle w:val="Heading2"/>
      </w:pPr>
      <w:r>
        <w:t xml:space="preserve">Exception Handling</w:t>
      </w:r>
    </w:p>
    <w:p>
      <w:pPr>
        <w:numPr>
          <w:ilvl w:val="0"/>
          <w:numId w:val="1004"/>
        </w:numPr>
        <w:pStyle w:val="Compact"/>
      </w:pPr>
      <w:r>
        <w:t xml:space="preserve">Excludes HTTP connection errors by default.</w:t>
      </w:r>
    </w:p>
    <w:p>
      <w:pPr>
        <w:numPr>
          <w:ilvl w:val="0"/>
          <w:numId w:val="1004"/>
        </w:numPr>
        <w:pStyle w:val="Compact"/>
      </w:pPr>
      <w:r>
        <w:t xml:space="preserve">Includes response handling with logging and error reporting via</w:t>
      </w:r>
      <w:r>
        <w:t xml:space="preserve"> </w:t>
      </w:r>
      <w:r>
        <w:rPr>
          <w:rStyle w:val="VerbatimChar"/>
        </w:rPr>
        <w:t xml:space="preserve">log</w:t>
      </w:r>
      <w:r>
        <w:t xml:space="preserve"> </w:t>
      </w:r>
      <w:r>
        <w:t xml:space="preserve">property.</w:t>
      </w:r>
    </w:p>
    <w:bookmarkEnd w:id="25"/>
    <w:bookmarkStart w:id="26" w:name="properties-used"/>
    <w:p>
      <w:pPr>
        <w:pStyle w:val="Heading2"/>
      </w:pPr>
      <w:r>
        <w:t xml:space="preserve">Properties Used</w:t>
      </w:r>
    </w:p>
    <w:p>
      <w:pPr>
        <w:numPr>
          <w:ilvl w:val="0"/>
          <w:numId w:val="1005"/>
        </w:numPr>
        <w:pStyle w:val="Compact"/>
      </w:pPr>
      <w:r>
        <w:rPr>
          <w:rStyle w:val="VerbatimChar"/>
        </w:rPr>
        <w:t xml:space="preserve">httpSessionHandling</w:t>
      </w:r>
    </w:p>
    <w:p>
      <w:pPr>
        <w:numPr>
          <w:ilvl w:val="0"/>
          <w:numId w:val="1005"/>
        </w:numPr>
        <w:pStyle w:val="Compact"/>
      </w:pPr>
      <w:r>
        <w:rPr>
          <w:rStyle w:val="VerbatimChar"/>
        </w:rPr>
        <w:t xml:space="preserve">accessControlMaxAge</w:t>
      </w:r>
    </w:p>
    <w:p>
      <w:pPr>
        <w:numPr>
          <w:ilvl w:val="0"/>
          <w:numId w:val="1005"/>
        </w:numPr>
        <w:pStyle w:val="Compact"/>
      </w:pPr>
      <w:r>
        <w:rPr>
          <w:rStyle w:val="VerbatimChar"/>
        </w:rPr>
        <w:t xml:space="preserve">log</w:t>
      </w:r>
    </w:p>
    <w:p>
      <w:pPr>
        <w:numPr>
          <w:ilvl w:val="0"/>
          <w:numId w:val="1005"/>
        </w:numPr>
        <w:pStyle w:val="Compact"/>
      </w:pPr>
      <w:r>
        <w:rPr>
          <w:rStyle w:val="VerbatimChar"/>
        </w:rPr>
        <w:t xml:space="preserve">corsEnabled</w:t>
      </w:r>
    </w:p>
    <w:p>
      <w:pPr>
        <w:numPr>
          <w:ilvl w:val="0"/>
          <w:numId w:val="1005"/>
        </w:numPr>
        <w:pStyle w:val="Compact"/>
      </w:pPr>
      <w:r>
        <w:rPr>
          <w:rStyle w:val="VerbatimChar"/>
        </w:rPr>
        <w:t xml:space="preserve">exposedHeaders</w:t>
      </w:r>
    </w:p>
    <w:p>
      <w:pPr>
        <w:numPr>
          <w:ilvl w:val="0"/>
          <w:numId w:val="1005"/>
        </w:numPr>
        <w:pStyle w:val="Compact"/>
      </w:pPr>
      <w:r>
        <w:rPr>
          <w:rStyle w:val="VerbatimChar"/>
        </w:rPr>
        <w:t xml:space="preserve">componentVersion</w:t>
      </w:r>
    </w:p>
    <w:p>
      <w:pPr>
        <w:numPr>
          <w:ilvl w:val="0"/>
          <w:numId w:val="1005"/>
        </w:numPr>
        <w:pStyle w:val="Compact"/>
      </w:pPr>
      <w:r>
        <w:rPr>
          <w:rStyle w:val="VerbatimChar"/>
        </w:rPr>
        <w:t xml:space="preserve">allowedHeaderList</w:t>
      </w:r>
    </w:p>
    <w:p>
      <w:pPr>
        <w:numPr>
          <w:ilvl w:val="0"/>
          <w:numId w:val="1005"/>
        </w:numPr>
        <w:pStyle w:val="Compact"/>
      </w:pPr>
      <w:r>
        <w:rPr>
          <w:rStyle w:val="VerbatimChar"/>
        </w:rPr>
        <w:t xml:space="preserve">ServerTrace</w:t>
      </w:r>
    </w:p>
    <w:p>
      <w:pPr>
        <w:numPr>
          <w:ilvl w:val="0"/>
          <w:numId w:val="1005"/>
        </w:numPr>
        <w:pStyle w:val="Compact"/>
      </w:pPr>
      <w:r>
        <w:rPr>
          <w:rStyle w:val="VerbatimChar"/>
        </w:rPr>
        <w:t xml:space="preserve">allowedOrigins</w:t>
      </w:r>
    </w:p>
    <w:p>
      <w:pPr>
        <w:numPr>
          <w:ilvl w:val="0"/>
          <w:numId w:val="1005"/>
        </w:numPr>
        <w:pStyle w:val="Compact"/>
      </w:pPr>
      <w:r>
        <w:rPr>
          <w:rStyle w:val="VerbatimChar"/>
        </w:rPr>
        <w:t xml:space="preserve">accessControlAllowCredentials</w:t>
      </w:r>
    </w:p>
    <w:p>
      <w:pPr>
        <w:numPr>
          <w:ilvl w:val="0"/>
          <w:numId w:val="1005"/>
        </w:numPr>
        <w:pStyle w:val="Compact"/>
      </w:pPr>
      <w:r>
        <w:rPr>
          <w:rStyle w:val="VerbatimChar"/>
        </w:rPr>
        <w:t xml:space="preserve">allowedHeaders</w:t>
      </w:r>
    </w:p>
    <w:p>
      <w:pPr>
        <w:numPr>
          <w:ilvl w:val="0"/>
          <w:numId w:val="1005"/>
        </w:numPr>
        <w:pStyle w:val="Compact"/>
      </w:pPr>
      <w:r>
        <w:rPr>
          <w:rStyle w:val="VerbatimChar"/>
        </w:rPr>
        <w:t xml:space="preserve">allowedMethods</w:t>
      </w:r>
    </w:p>
    <w:p>
      <w:pPr>
        <w:numPr>
          <w:ilvl w:val="0"/>
          <w:numId w:val="1005"/>
        </w:numPr>
        <w:pStyle w:val="Compact"/>
      </w:pPr>
      <w:r>
        <w:rPr>
          <w:rStyle w:val="VerbatimChar"/>
        </w:rPr>
        <w:t xml:space="preserve">cmdVariantUri</w:t>
      </w:r>
    </w:p>
    <w:bookmarkEnd w:id="26"/>
    <w:bookmarkStart w:id="27" w:name="test-cases"/>
    <w:p>
      <w:pPr>
        <w:pStyle w:val="Heading2"/>
      </w:pPr>
      <w:r>
        <w:t xml:space="preserve">Test Cases</w:t>
      </w:r>
    </w:p>
    <w:p>
      <w:pPr>
        <w:pStyle w:val="FirstParagraph"/>
      </w:pPr>
      <w:r>
        <w:t xml:space="preserve">(Note: None as there are no test cases yet.)</w:t>
      </w:r>
    </w:p>
    <w:bookmarkEnd w:id="27"/>
    <w:bookmarkStart w:id="28" w:name="deployment-notes"/>
    <w:p>
      <w:pPr>
        <w:pStyle w:val="Heading2"/>
      </w:pPr>
      <w:r>
        <w:t xml:space="preserve">Deployment Notes</w:t>
      </w:r>
    </w:p>
    <w:p>
      <w:pPr>
        <w:numPr>
          <w:ilvl w:val="0"/>
          <w:numId w:val="1006"/>
        </w:numPr>
        <w:pStyle w:val="Compact"/>
      </w:pPr>
      <w:r>
        <w:t xml:space="preserve">Used in collaboration within iFlow model.</w:t>
      </w:r>
    </w:p>
    <w:p>
      <w:pPr>
        <w:numPr>
          <w:ilvl w:val="0"/>
          <w:numId w:val="1006"/>
        </w:numPr>
        <w:pStyle w:val="Compact"/>
      </w:pPr>
      <w:r>
        <w:t xml:space="preserve">Configuration details should be referenced for deployment specifics.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2025-12-08T11:03:13Z</dcterms:created>
  <dcterms:modified xsi:type="dcterms:W3CDTF">2025-12-08T11:03:13Z</dcterms:modified>
</cp:coreProperties>
</file>

<file path=docProps/custom.xml><?xml version="1.0" encoding="utf-8"?>
<Properties xmlns="http://schemas.openxmlformats.org/officeDocument/2006/custom-properties" xmlns:vt="http://schemas.openxmlformats.org/officeDocument/2006/docPropsVTypes"/>
</file>