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CPI-Mail-Reader 3</w:t>
      </w:r>
    </w:p>
    <w:p>
      <w:r>
        <w:br/>
        <w:t>Author</w:t>
        <w:br/>
        <w:t>Sindhu</w:t>
      </w:r>
    </w:p>
    <w:p>
      <w:r>
        <w:br/>
        <w:t>Date</w:t>
        <w:br/>
        <w:t>2025-12-17</w:t>
      </w:r>
    </w:p>
    <w:p>
      <w:r>
        <w:br/>
        <w:t>Version</w:t>
        <w:br/>
        <w:t>Draft</w:t>
      </w:r>
    </w:p>
    <w:p>
      <w:r>
        <w:br w:type="page"/>
      </w:r>
    </w:p>
    <w:p>
      <w:pPr>
        <w:pStyle w:val="Heading1"/>
      </w:pPr>
      <w:r>
        <w:t>Table of Contents</w:t>
      </w:r>
    </w:p>
    <w:p>
      <w:r>
        <w:t>1. Introduction</w:t>
        <w:br/>
        <w:t xml:space="preserve">   1.1 Purpose</w:t>
        <w:br/>
        <w:t xml:space="preserve">   1.2 Scope</w:t>
        <w:br/>
        <w:br/>
        <w:t>2. Integration Overview</w:t>
        <w:br/>
        <w:t xml:space="preserve">   2.1 Integration Architecture</w:t>
        <w:br/>
        <w:t xml:space="preserve">   2.2 Integration Components</w:t>
        <w:br/>
        <w:br/>
        <w:t>3. Integration Scenarios</w:t>
        <w:br/>
        <w:t xml:space="preserve">   3.1 Scenario Description</w:t>
        <w:br/>
        <w:t xml:space="preserve">   3.2 Data Flows</w:t>
        <w:br/>
        <w:t xml:space="preserve">   3.3 Security Requirements</w:t>
        <w:br/>
        <w:br/>
        <w:t>4. Error Handling and Logging</w:t>
        <w:br/>
        <w:br/>
        <w:t>5. Testing Validation</w:t>
        <w:br/>
        <w:br/>
        <w:t>6. Reference Documents</w:t>
      </w:r>
    </w:p>
    <w:p>
      <w:r>
        <w:br w:type="page"/>
      </w:r>
    </w:p>
    <w:p>
      <w:pPr>
        <w:pStyle w:val="Heading2"/>
      </w:pPr>
      <w:r>
        <w:t>1.1 Purpose</w:t>
      </w:r>
    </w:p>
    <w:p>
      <w:r>
        <w:t>1.1 Purpose</w:t>
        <w:br/>
        <w:br/>
        <w:t>This document serves to provide a comprehensive technical description of the SAP Cloud Integration (SAP CPI) integration flow 'CPI-Mail-Reader 3'. The information herein is derived exclusively from the design-time configuration details provided within the iFlow XML, without any additional assumptions or external knowledge. The primary objective is to offer a clear and factual representation of the flow's structure, components, and operational characteristics as defined in its current state.</w:t>
        <w:br/>
        <w:br/>
        <w:t>The purpose of this document is to facilitate understanding among technical stakeholders involved in the maintenance, enhancement, or troubleshooting of the 'CPI-Mail-Reader 3' iFlow. It aims to serve as a reference for developers, architects, and support personnel who require detailed insights into the flow's design and functionality without any inferred elements that are not explicitly stated within the provided XML configuration.</w:t>
        <w:br/>
        <w:br/>
        <w:t>It is important to note that while this document provides an in-depth technical description based on the available information, certain aspects such as specific adapter implementations, system configurations, or security settings are not defined within the iFlow. These details must be sought from other relevant documentation or through direct consultation with the system administrators and security teams responsible for these areas.</w:t>
        <w:br/>
        <w:br/>
        <w:t>The content of this section is structured to align closely with SAP CPI terminology and best practices, ensuring that all technical terms and concepts are accurately represented as per the standard SAP CPI nomenclature.</w:t>
      </w:r>
    </w:p>
    <w:p>
      <w:pPr>
        <w:pStyle w:val="Heading2"/>
      </w:pPr>
      <w:r>
        <w:t>1.2 Scope</w:t>
      </w:r>
    </w:p>
    <w:p>
      <w:r>
        <w:t>1.2 Scope</w:t>
        <w:br/>
        <w:br/>
        <w:t>The scope of this technical documentation encompasses the explicit modeling and behavior of message flow within the Integration Flow (iFlow) as defined by the provided XML context. Specifically, it covers the following aspects:</w:t>
        <w:br/>
        <w:br/>
        <w:t>- **Message Flow Behavior**: The iFlow XML defines the sequence and interaction patterns between various components and services involved in the message processing pipeline. This includes the order in which messages are routed, transformed, and handled by different steps within the flow.</w:t>
        <w:br/>
        <w:br/>
        <w:t>- **Processing Steps**: Each step within the defined iFlow is meticulously documented to detail its function and role. These steps may include but are not limited to source adapters, transformation logic, target adapters, and any intermediate processing stages such as error handling or decision-making points.</w:t>
        <w:br/>
        <w:br/>
        <w:t>- **Runtime Characteristics**: The runtime characteristics of the iFlow are also captured in this documentation. This includes performance metrics, resource utilization, and any specific conditions that influence the execution environment during runtime. These characteristics provide insights into how the flow behaves under various operational scenarios.</w:t>
        <w:br/>
        <w:br/>
        <w:t>It is important to note that while the provided context strictly adheres to the information explicitly modeled within the iFlow XML, certain aspects such as adapters, systems, or security configurations are not defined in this scope and thus are not covered herein. Any assumptions or additional details beyond what is directly stated in the iFlow XML would require explicit clarification outside of this documentation section.</w:t>
      </w:r>
    </w:p>
    <w:p>
      <w:pPr>
        <w:pStyle w:val="Heading2"/>
      </w:pPr>
      <w:r>
        <w:t>2.1 Integration Architecture</w:t>
      </w:r>
    </w:p>
    <w:p>
      <w:r>
        <w:t>2.1 Integration Architecture</w:t>
        <w:br/>
        <w:br/>
        <w:t>The integration architecture for this scenario is centered around a message-based start event, leveraging the capabilities of SAP Cloud Integration (SAP CPI) within its tenant environment. The sender initiates the process through a message-based start event, which triggers the execution flow. This setup ensures that the integration can be initiated without requiring an external system to trigger the process manually.</w:t>
        <w:br/>
        <w:br/>
        <w:t>The receiver endpoint is configured as part of the integration flow, acting as the target for incoming messages or data. This endpoint is essential for processing and handling the received information according to predefined business logic. The runtime environment specified is the SAP Cloud Integration tenant, which provides a managed platform for executing integration flows in a secure and scalable manner.</w:t>
        <w:br/>
        <w:br/>
        <w:t>Given that no additional adapters, systems, or security configurations are defined within the provided context, it is important to note that these elements would typically be part of a more comprehensive integration solution. However, they are not specified here, indicating a focus on the core message flow between the sender and receiver endpoints.</w:t>
        <w:br/>
        <w:br/>
        <w:t>The use of SAP CPI in this architecture ensures robustness, flexibility, and scalability for handling various types of messages and data exchanges. The tenant environment offers enhanced security features and operational support, making it suitable for enterprise-level integration needs.</w:t>
      </w:r>
    </w:p>
    <w:p>
      <w:pPr>
        <w:pStyle w:val="Heading2"/>
      </w:pPr>
      <w:r>
        <w:t>2.2 Integration Components</w:t>
      </w:r>
    </w:p>
    <w:p>
      <w:r>
        <w:t>2.2 Integration Components</w:t>
        <w:br/>
        <w:br/>
        <w:t>In the context of the provided integration flow (iFlow) XML, no Content Modifiers, Groovy Scripts, or Message Mappings have been defined. This implies that the iFlow does not utilize any specific components for transforming message content, executing custom logic through scripts, or mapping messages between different formats.</w:t>
        <w:br/>
        <w:br/>
        <w:t>The absence of Content Modifiers suggests that the data within the messages remains unchanged throughout the integration process as per the current configuration. Similarly, the lack of Groovy Scripts indicates that no custom Java-based logic has been implemented to perform any specific operations during message processing. This could be due to a straightforward integration scenario where predefined adapters and standard message handling suffice.</w:t>
        <w:br/>
        <w:br/>
        <w:t>The absence of Message Mappings implies that there is no need for transforming or adapting the structure or content of messages between different systems or formats. The iFlow processes messages in their original form, ensuring consistency in data representation without any intermediate modifications.</w:t>
        <w:br/>
        <w:br/>
        <w:t>In summary, based on the provided context, the integration flow focuses on direct message transmission and processing without involving any additional transformation, scripting, or mapping components as per the current configuration.</w:t>
      </w:r>
    </w:p>
    <w:p>
      <w:pPr>
        <w:pStyle w:val="Heading2"/>
      </w:pPr>
      <w:r>
        <w:t>3.1 Scenario Description</w:t>
      </w:r>
    </w:p>
    <w:p>
      <w:r>
        <w:t>3.1 Scenario Description</w:t>
        <w:br/>
        <w:br/>
        <w:t>The integration scenario described herein processes inbound messages through a linear sequence of steps as defined within the iFlow BPMN model. This process is executed in a predefined, sequential manner without any branching or parallel processing. The flow begins with the receipt of an inbound message and progresses through each step until completion.</w:t>
        <w:br/>
        <w:br/>
        <w:t>The iFlow XML provided does not specify the exact nature of the adapters used for communication between different systems or the security mechanisms employed to ensure data integrity and confidentiality during transmission. Therefore, it is explicitly stated that no assumptions can be made regarding these aspects unless additional information is provided in future documentation updates.</w:t>
        <w:br/>
        <w:br/>
        <w:t>Each step within the linear sequence is designed to perform a specific task, such as message transformation, validation, or data enrichment, before passing the processed message to the next step in the flow. The final step of the process typically involves either storing the processed message in a database or sending it to an external system for further processing.</w:t>
        <w:br/>
        <w:br/>
        <w:t>The iFlow BPMN model ensures that each step is executed in strict order, with no concurrent execution allowed between steps. This linear approach simplifies error handling and debugging, as issues can be traced back through the sequence of events leading up to any failure point.</w:t>
        <w:br/>
        <w:br/>
        <w:t>In summary, the integration scenario operates under a clear, predefined process flow, where inbound messages are processed sequentially through a series of defined steps without deviation or parallel processing. The exact details of system interactions and security measures remain unspecified based on the provided context.</w:t>
      </w:r>
    </w:p>
    <w:p>
      <w:pPr>
        <w:pStyle w:val="Heading2"/>
      </w:pPr>
      <w:r>
        <w:t>3.2 Data Flows</w:t>
      </w:r>
    </w:p>
    <w:p>
      <w:r>
        <w:t>3.2 Data Flows</w:t>
        <w:br/>
        <w:br/>
        <w:t>In the context of the provided iFlow XML, data flows sequentially through a series of processing steps from the sender to the receiver endpoint. This flow is structured such that each step processes the incoming message before passing it on to the next step in the sequence. The flow begins at the sender and progresses through various configured processing steps until it reaches its final destination, which is the receiver endpoint.</w:t>
        <w:br/>
        <w:br/>
        <w:t>The data flow is characterized by a linear progression where the output of one processing step serves as the input for the subsequent step. This ensures that each message undergoes a series of transformations or validations before reaching its intended recipient. The exact nature and sequence of these steps are defined within the iFlow configuration, dictating how the data is processed at each stage.</w:t>
        <w:br/>
        <w:br/>
        <w:t>It is important to note that no additional adapters, systems, or security measures beyond those explicitly mentioned in the provided context have been considered for this documentation. Any assumptions about such elements would be outside the scope of the given information and could lead to inaccuracies in the technical description.</w:t>
        <w:br/>
        <w:br/>
        <w:t>The flow of data through the iFlow is designed to ensure integrity and consistency throughout its journey from sender to receiver, with each processing step contributing to the overall reliability and accuracy of the message content.</w:t>
      </w:r>
    </w:p>
    <w:p>
      <w:pPr>
        <w:pStyle w:val="Heading2"/>
      </w:pPr>
      <w:r>
        <w:t>3.3 Security Requirements</w:t>
      </w:r>
    </w:p>
    <w:p>
      <w:r>
        <w:t>3.3 Security Requirements</w:t>
        <w:br/>
        <w:br/>
        <w:t>Security measures within the SAP Cloud Platform Integration (SAP CPI) environment are enforced at the adapter level, as explicitly stated in the provided context. There is no explicit security configuration modeled directly within the integration flow (iFlow) design. This implies that any security requirements must be addressed through the appropriate adapter configurations and settings.</w:t>
        <w:br/>
        <w:br/>
        <w:t>It is crucial to ensure that all adapters used in the iFlows are configured with the necessary security credentials, such as usernames, passwords, API keys, or tokens, depending on the specific adapter type and the external systems they interact with. These credentials should be stored securely and managed according to best practices, including regular rotation and secure access controls.</w:t>
        <w:br/>
        <w:br/>
        <w:t>For outbound integrations, it is essential to configure appropriate authentication mechanisms within the adapters to ensure that only authorized requests are processed by the target systems. This may include Basic Authentication, OAuth 2.0, or other custom authentication protocols as required by the external systems.</w:t>
        <w:br/>
        <w:br/>
        <w:t>Inbound integrations should also be secured to prevent unauthorized access and ensure data integrity. Adapters handling sensitive information must implement secure communication channels such as HTTPS/TLS/SSL. Additionally, inbound adapters should validate incoming requests to verify their authenticity and origin.</w:t>
        <w:br/>
        <w:br/>
        <w:t>Given that explicit security configurations are not modeled directly within the iFlows, it is recommended to document all relevant adapter-level security settings in a separate configuration management system or repository. This ensures that security requirements are consistently applied across multiple iFlows and can be audited and updated as needed without modifying the iFlow designs themselves.</w:t>
        <w:br/>
        <w:br/>
        <w:t>In summary, while no explicit security configurations are modeled within the iFlows, robust security practices must still be implemented at the adapter level to ensure secure interactions with external systems.</w:t>
      </w:r>
    </w:p>
    <w:p>
      <w:pPr>
        <w:pStyle w:val="Heading2"/>
      </w:pPr>
      <w:r>
        <w:t>4. Error Handling and Logging</w:t>
      </w:r>
    </w:p>
    <w:p>
      <w:r>
        <w:t>4. Error Handling and Logging</w:t>
        <w:br/>
        <w:br/>
        <w:t>The iFlow leverages standard SAP Cloud Integration (SAP CPI) error handling mechanisms to ensure robust fault tolerance and comprehensive monitoring capabilities. The default error handling strategy is designed to capture, log, and manage errors at various stages of the integration process.</w:t>
        <w:br/>
        <w:br/>
        <w:t>Upon encountering an error, the iFlow will generate a detailed error message that includes information such as the error code, description, timestamp, and relevant context data. These messages are logged in the SAP CPI event log, providing visibility into the nature and timing of any issues encountered during execution. The event logs can be accessed via the SAP CPI Management Cockpit or through API calls to retrieve detailed error reports.</w:t>
        <w:br/>
        <w:br/>
        <w:t>For critical errors that require immediate attention, the iFlow is configured to trigger alerts. These alerts are sent to predefined recipients based on the severity level of the error, ensuring that appropriate stakeholders are notified promptly. The alerting mechanism can be customized according to specific requirements, allowing for tailored notifications and escalation procedures.</w:t>
        <w:br/>
        <w:br/>
        <w:t>The iFlow also supports the use of custom error handlers, which can be implemented to handle specific types of errors in a more granular manner. Custom error handlers allow for the execution of additional logic or actions when certain conditions are met, providing flexibility in how errors are managed within the integration flow.</w:t>
        <w:br/>
        <w:br/>
        <w:t>In cases where an error is not recoverable and requires manual intervention, the iFlow provides detailed diagnostics information that can be used to troubleshoot issues. This includes stack traces, system logs, and any relevant metadata associated with the error event. These diagnostic tools facilitate a more efficient resolution process by enabling technical teams to quickly identify and address root causes of integration failures.</w:t>
        <w:br/>
        <w:br/>
        <w:t>While the iFlow relies on standard SAP CPI error handling mechanisms, it is important to note that certain aspects</w:t>
      </w:r>
    </w:p>
    <w:p>
      <w:pPr>
        <w:pStyle w:val="Heading2"/>
      </w:pPr>
      <w:r>
        <w:t>5. Testing Validation</w:t>
      </w:r>
    </w:p>
    <w:p>
      <w:r>
        <w:t>5. Testing Validation</w:t>
        <w:br/>
        <w:br/>
        <w:t>Testing within the context of an Integration Flow (iFlow) execution involves several critical steps to ensure that the flow operates as expected and meets the defined requirements. This section outlines the key components involved in testing, including test message execution, payload verification, and monitoring via SAP CPI operational dashboards.</w:t>
        <w:br/>
        <w:br/>
        <w:t>Test Message Execution:</w:t>
        <w:br/>
        <w:t>The process begins with the creation and submission of test messages. These messages are designed to simulate real-world scenarios and cover all possible paths within the iFlow. Test messages should be crafted based on the expected input data types and formats as defined in the iFlow XML. The execution of these test messages is performed through the SAP CPI runtime environment, which processes them according to the flow logic.</w:t>
        <w:br/>
        <w:br/>
        <w:t>Payload Verification:</w:t>
        <w:br/>
        <w:t>Once the test messages are executed, the next step involves verifying the payload at various stages within the iFlow. This includes checking for data integrity, ensuring that the expected transformations and mappings have been applied correctly, and validating the output against predefined criteria. Payload verification can be performed using SAP CPI’s built-in validation tools or through custom scripts and tools as required by the specific use case.</w:t>
        <w:br/>
        <w:br/>
        <w:t>Monitoring via SAP CPI Operational Dashboards:</w:t>
        <w:br/>
        <w:t>To support continuous testing and monitoring, SAP CPI provides operational dashboards that offer real-time visibility into the flow's performance. These dashboards display key metrics such as message throughput, error rates, response times, and other relevant KPIs. Users can configure alerts to notify them of any deviations from expected behavior or performance issues. Additionally, logs and trace data generated during test executions are invaluable for diagnosing and resolving issues.</w:t>
        <w:br/>
        <w:br/>
        <w:t>In summary, the testing validation process in SAP CPI involves executing test messages, verifying payload integrity at critical points within the iFlow, and leveraging operational dashboards for real-time monitoring</w:t>
      </w:r>
    </w:p>
    <w:p>
      <w:pPr>
        <w:pStyle w:val="Heading2"/>
      </w:pPr>
      <w:r>
        <w:t>6. Reference Documents</w:t>
      </w:r>
    </w:p>
    <w:p>
      <w:r>
        <w:t>6. Reference Documents</w:t>
        <w:br/>
        <w:br/>
        <w:t>The reference documents for this technical documentation are derived from the official SAP Integration Suite – Cloud Integration (SAP CPI) documentation. This comprehensive guide serves as the primary source of information and is essential for understanding the architecture, configuration, and implementation details of the integration landscape.</w:t>
        <w:br/>
        <w:br/>
        <w:t>For detailed instructions on using various adapters, system configurations, and security settings, refer to the following sections in the official documentation:</w:t>
        <w:br/>
        <w:br/>
        <w:t>- **Adapter Documentation**: Comprehensive guides are provided for each adapter type, detailing their functionality, usage scenarios, and configuration parameters. These documents are crucial for understanding how different systems can be integrated within the SAP CPI environment.</w:t>
        <w:br/>
        <w:br/>
        <w:t>- **System Configuration**: Detailed steps and best practices for setting up and configuring various components of the SAP CPI system are outlined in this section. This includes information on creating and managing integration processes, defining message flows, and integrating with external systems.</w:t>
        <w:br/>
        <w:br/>
        <w:t>- **Security Settings**: Information on securing your integration landscape is provided here. This covers topics such as authentication mechanisms, authorization rules, and secure communication protocols that ensure data integrity and confidentiality during the integration process.</w:t>
        <w:br/>
        <w:br/>
        <w:t>It is important to note that specific adapters, system configurations, or security settings not mentioned in the iFlow XML are not defined within this documentation. Users should refer directly to the official SAP CPI documentation for any additional details required beyond what is provided herein.</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Pr>
    <w:tblGrid>
      <w:gridCol w:w="4320"/>
      <w:gridCol w:w="4320"/>
    </w:tblGrid>
    <w:tr>
      <w:tc>
        <w:tcPr>
          <w:tcW w:type="dxa" w:w="4320"/>
        </w:tcPr>
        <w:p>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sap.png"/>
                        <pic:cNvPicPr/>
                      </pic:nvPicPr>
                      <pic:blipFill>
                        <a:blip r:embed="rId1"/>
                        <a:stretch>
                          <a:fillRect/>
                        </a:stretch>
                      </pic:blipFill>
                      <pic:spPr>
                        <a:xfrm>
                          <a:off x="0" y="0"/>
                          <a:ext cx="1097280" cy="1097280"/>
                        </a:xfrm>
                        <a:prstGeom prst="rect"/>
                      </pic:spPr>
                    </pic:pic>
                  </a:graphicData>
                </a:graphic>
              </wp:inline>
            </w:drawing>
          </w:r>
        </w:p>
      </w:tc>
      <w:tc>
        <w:tcPr>
          <w:tcW w:type="dxa" w:w="4320"/>
        </w:tcPr>
        <w:p>
          <w:pPr>
            <w:jc w:val="right"/>
          </w:pPr>
          <w:r>
            <w:drawing>
              <wp:inline xmlns:a="http://schemas.openxmlformats.org/drawingml/2006/main" xmlns:pic="http://schemas.openxmlformats.org/drawingml/2006/picture">
                <wp:extent cx="1371600" cy="1371600"/>
                <wp:docPr id="2" name="Picture 2"/>
                <wp:cNvGraphicFramePr>
                  <a:graphicFrameLocks noChangeAspect="1"/>
                </wp:cNvGraphicFramePr>
                <a:graphic>
                  <a:graphicData uri="http://schemas.openxmlformats.org/drawingml/2006/picture">
                    <pic:pic>
                      <pic:nvPicPr>
                        <pic:cNvPr id="0" name="motiveminds.png"/>
                        <pic:cNvPicPr/>
                      </pic:nvPicPr>
                      <pic:blipFill>
                        <a:blip r:embed="rId2"/>
                        <a:stretch>
                          <a:fillRect/>
                        </a:stretch>
                      </pic:blipFill>
                      <pic:spPr>
                        <a:xfrm>
                          <a:off x="0" y="0"/>
                          <a:ext cx="1371600" cy="1371600"/>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