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integrationflow</w:t>
      </w:r>
    </w:p>
    <w:p>
      <w:pPr>
        <w:pStyle w:val="BodyText"/>
      </w:pPr>
      <w:r>
        <w:t xml:space="preserve">Technical Specification Document</w:t>
      </w:r>
    </w:p>
    <w:p>
      <w:pPr>
        <w:pStyle w:val="BodyText"/>
      </w:pPr>
      <w:r>
        <w:t xml:space="preserve">Author</w:t>
      </w:r>
    </w:p>
    <w:p>
      <w:pPr>
        <w:pStyle w:val="BodyText"/>
      </w:pPr>
      <w:r>
        <w:t xml:space="preserve">Sindhu</w:t>
      </w:r>
    </w:p>
    <w:p>
      <w:pPr>
        <w:pStyle w:val="BodyText"/>
      </w:pPr>
      <w:r>
        <w:t xml:space="preserve">Date</w:t>
      </w:r>
    </w:p>
    <w:p>
      <w:pPr>
        <w:pStyle w:val="BodyText"/>
      </w:pPr>
      <w:r>
        <w:t xml:space="preserve">2026-01-06</w:t>
      </w:r>
    </w:p>
    <w:p>
      <w:pPr>
        <w:pStyle w:val="BodyText"/>
      </w:pPr>
      <w:r>
        <w:t xml:space="preserve">Version</w:t>
      </w:r>
    </w:p>
    <w:p>
      <w:pPr>
        <w:pStyle w:val="BodyText"/>
      </w:pPr>
      <w:r>
        <w:t xml:space="preserve">1.0.0</w:t>
      </w:r>
    </w:p>
    <w:p>
      <w:pPr>
        <w:pStyle w:val="BodyText"/>
      </w:pPr>
      <w:r>
        <w:t xml:space="preserve">Table of Contents</w:t>
      </w:r>
    </w:p>
    <w:p>
      <w:pPr>
        <w:numPr>
          <w:ilvl w:val="0"/>
          <w:numId w:val="1001"/>
        </w:numPr>
        <w:pStyle w:val="Compact"/>
      </w:pPr>
      <w:r>
        <w:t xml:space="preserve">Introduction</w:t>
      </w:r>
      <w:r>
        <w:br/>
      </w:r>
    </w:p>
    <w:p>
      <w:pPr>
        <w:numPr>
          <w:ilvl w:val="0"/>
          <w:numId w:val="1001"/>
        </w:numPr>
        <w:pStyle w:val="Compact"/>
      </w:pPr>
      <w:r>
        <w:t xml:space="preserve">Integration Overview</w:t>
      </w:r>
      <w:r>
        <w:br/>
      </w:r>
    </w:p>
    <w:p>
      <w:pPr>
        <w:numPr>
          <w:ilvl w:val="0"/>
          <w:numId w:val="1001"/>
        </w:numPr>
        <w:pStyle w:val="Compact"/>
      </w:pPr>
      <w:r>
        <w:t xml:space="preserve">Integration Scenarios</w:t>
      </w:r>
      <w:r>
        <w:br/>
      </w:r>
    </w:p>
    <w:p>
      <w:pPr>
        <w:numPr>
          <w:ilvl w:val="0"/>
          <w:numId w:val="1001"/>
        </w:numPr>
        <w:pStyle w:val="Compact"/>
      </w:pPr>
      <w:r>
        <w:t xml:space="preserve">Error Handling and Logging</w:t>
      </w:r>
      <w:r>
        <w:br/>
      </w:r>
    </w:p>
    <w:p>
      <w:pPr>
        <w:numPr>
          <w:ilvl w:val="0"/>
          <w:numId w:val="1001"/>
        </w:numPr>
        <w:pStyle w:val="Compact"/>
      </w:pPr>
      <w:r>
        <w:t xml:space="preserve">Testing Validation</w:t>
      </w:r>
      <w:r>
        <w:br/>
      </w:r>
    </w:p>
    <w:p>
      <w:pPr>
        <w:numPr>
          <w:ilvl w:val="0"/>
          <w:numId w:val="1001"/>
        </w:numPr>
        <w:pStyle w:val="Compact"/>
      </w:pPr>
      <w:r>
        <w:t xml:space="preserve">Reference Documents</w:t>
      </w:r>
      <w:r>
        <w:br/>
      </w:r>
    </w:p>
    <w:bookmarkStart w:id="22" w:name="introduction"/>
    <w:p>
      <w:pPr>
        <w:pStyle w:val="Heading1"/>
      </w:pPr>
      <w:r>
        <w:t xml:space="preserve">1. Introduction</w:t>
      </w:r>
    </w:p>
    <w:bookmarkStart w:id="20" w:name="purpose"/>
    <w:p>
      <w:pPr>
        <w:pStyle w:val="Heading2"/>
      </w:pPr>
      <w:r>
        <w:t xml:space="preserve">1.1 Purpose</w:t>
      </w:r>
    </w:p>
    <w:p>
      <w:pPr>
        <w:pStyle w:val="FirstParagraph"/>
      </w:pPr>
      <w:r>
        <w:t xml:space="preserve">The purpose of this document is to provide a comprehensive overview of the iFlow named</w:t>
      </w:r>
      <w:r>
        <w:t xml:space="preserve"> </w:t>
      </w:r>
      <w:r>
        <w:t xml:space="preserve">‘</w:t>
      </w:r>
      <w:r>
        <w:t xml:space="preserve">integrationflow</w:t>
      </w:r>
      <w:r>
        <w:t xml:space="preserve">’</w:t>
      </w:r>
      <w:r>
        <w:t xml:space="preserve">, detailing its integration architecture, components, scenarios, error handling, and testing validation.</w:t>
      </w:r>
    </w:p>
    <w:bookmarkEnd w:id="20"/>
    <w:bookmarkStart w:id="21" w:name="scope"/>
    <w:p>
      <w:pPr>
        <w:pStyle w:val="Heading2"/>
      </w:pPr>
      <w:r>
        <w:t xml:space="preserve">1.2 Scope</w:t>
      </w:r>
    </w:p>
    <w:p>
      <w:pPr>
        <w:pStyle w:val="FirstParagraph"/>
      </w:pPr>
      <w:r>
        <w:t xml:space="preserve">This document covers the integration flow</w:t>
      </w:r>
      <w:r>
        <w:t xml:space="preserve"> </w:t>
      </w:r>
      <w:r>
        <w:t xml:space="preserve">‘</w:t>
      </w:r>
      <w:r>
        <w:t xml:space="preserve">integrationflow</w:t>
      </w:r>
      <w:r>
        <w:t xml:space="preserve">’</w:t>
      </w:r>
      <w:r>
        <w:t xml:space="preserve"> </w:t>
      </w:r>
      <w:r>
        <w:t xml:space="preserve">which involves email communication using IMAP and SMTP protocols. It includes the configuration details, data flows, and testing strategies relevant to the integration process.</w:t>
      </w:r>
    </w:p>
    <w:bookmarkEnd w:id="21"/>
    <w:bookmarkEnd w:id="22"/>
    <w:bookmarkStart w:id="25" w:name="integration-overview"/>
    <w:p>
      <w:pPr>
        <w:pStyle w:val="Heading1"/>
      </w:pPr>
      <w:r>
        <w:t xml:space="preserve">2. Integration Overview</w:t>
      </w:r>
    </w:p>
    <w:bookmarkStart w:id="23" w:name="integration-architecture"/>
    <w:p>
      <w:pPr>
        <w:pStyle w:val="Heading2"/>
      </w:pPr>
      <w:r>
        <w:t xml:space="preserve">2.1 Integration Architecture</w:t>
      </w:r>
    </w:p>
    <w:p>
      <w:pPr>
        <w:pStyle w:val="FirstParagraph"/>
      </w:pPr>
      <w:r>
        <w:t xml:space="preserve">The integration architecture consists of a sender and receiver participant, with an integration process that orchestrates the flow of data between them. The sender retrieves emails from an IMAP server, processes the data, and sends it to the receiver via SMTP.</w:t>
      </w:r>
    </w:p>
    <w:bookmarkEnd w:id="23"/>
    <w:bookmarkStart w:id="24" w:name="integration-components"/>
    <w:p>
      <w:pPr>
        <w:pStyle w:val="Heading2"/>
      </w:pPr>
      <w:r>
        <w:t xml:space="preserve">2.2 Integration Components</w:t>
      </w:r>
    </w:p>
    <w:p>
      <w:pPr>
        <w:numPr>
          <w:ilvl w:val="0"/>
          <w:numId w:val="1002"/>
        </w:numPr>
        <w:pStyle w:val="Compact"/>
      </w:pPr>
      <w:r>
        <w:rPr>
          <w:bCs/>
          <w:b/>
        </w:rPr>
        <w:t xml:space="preserve">Sender</w:t>
      </w:r>
      <w:r>
        <w:t xml:space="preserve">: Configured to connect to an IMAP server (imap.gmail.com) to fetch unread emails.</w:t>
      </w:r>
    </w:p>
    <w:p>
      <w:pPr>
        <w:numPr>
          <w:ilvl w:val="0"/>
          <w:numId w:val="1002"/>
        </w:numPr>
        <w:pStyle w:val="Compact"/>
      </w:pPr>
      <w:r>
        <w:rPr>
          <w:bCs/>
          <w:b/>
        </w:rPr>
        <w:t xml:space="preserve">Receiver</w:t>
      </w:r>
      <w:r>
        <w:t xml:space="preserve">: Configured to send emails via an SMTP server (smtp.gmail.com).</w:t>
      </w:r>
    </w:p>
    <w:p>
      <w:pPr>
        <w:numPr>
          <w:ilvl w:val="0"/>
          <w:numId w:val="1002"/>
        </w:numPr>
        <w:pStyle w:val="Compact"/>
      </w:pPr>
      <w:r>
        <w:rPr>
          <w:bCs/>
          <w:b/>
        </w:rPr>
        <w:t xml:space="preserve">Integration Process</w:t>
      </w:r>
      <w:r>
        <w:t xml:space="preserve">: Contains activities such as Groovy scripts and content modifiers to process the email data.</w:t>
      </w:r>
    </w:p>
    <w:bookmarkEnd w:id="24"/>
    <w:bookmarkEnd w:id="25"/>
    <w:bookmarkStart w:id="29" w:name="integration-scenarios"/>
    <w:p>
      <w:pPr>
        <w:pStyle w:val="Heading1"/>
      </w:pPr>
      <w:r>
        <w:t xml:space="preserve">3. Integration Scenarios</w:t>
      </w:r>
    </w:p>
    <w:bookmarkStart w:id="26" w:name="scenario-description"/>
    <w:p>
      <w:pPr>
        <w:pStyle w:val="Heading2"/>
      </w:pPr>
      <w:r>
        <w:t xml:space="preserve">3.1 Scenario Description</w:t>
      </w:r>
    </w:p>
    <w:p>
      <w:pPr>
        <w:pStyle w:val="FirstParagraph"/>
      </w:pPr>
      <w:r>
        <w:t xml:space="preserve">The integration flow retrieves unread emails from a Gmail account, processes the content, and forwards the processed data as an email to a specified recipient.</w:t>
      </w:r>
    </w:p>
    <w:bookmarkEnd w:id="26"/>
    <w:bookmarkStart w:id="27" w:name="data-flows"/>
    <w:p>
      <w:pPr>
        <w:pStyle w:val="Heading2"/>
      </w:pPr>
      <w:r>
        <w:t xml:space="preserve">3.2 Data Flows</w:t>
      </w:r>
    </w:p>
    <w:p>
      <w:pPr>
        <w:numPr>
          <w:ilvl w:val="0"/>
          <w:numId w:val="1003"/>
        </w:numPr>
        <w:pStyle w:val="Compact"/>
      </w:pPr>
      <w:r>
        <w:rPr>
          <w:bCs/>
          <w:b/>
        </w:rPr>
        <w:t xml:space="preserve">Email Retrieval</w:t>
      </w:r>
      <w:r>
        <w:t xml:space="preserve">: The sender fetches unread emails from the IMAP server.</w:t>
      </w:r>
    </w:p>
    <w:p>
      <w:pPr>
        <w:numPr>
          <w:ilvl w:val="0"/>
          <w:numId w:val="1003"/>
        </w:numPr>
        <w:pStyle w:val="Compact"/>
      </w:pPr>
      <w:r>
        <w:rPr>
          <w:bCs/>
          <w:b/>
        </w:rPr>
        <w:t xml:space="preserve">Processing</w:t>
      </w:r>
      <w:r>
        <w:t xml:space="preserve">: The integration process modifies the email content using content modifiers and executes a Groovy script.</w:t>
      </w:r>
    </w:p>
    <w:p>
      <w:pPr>
        <w:numPr>
          <w:ilvl w:val="0"/>
          <w:numId w:val="1003"/>
        </w:numPr>
        <w:pStyle w:val="Compact"/>
      </w:pPr>
      <w:r>
        <w:rPr>
          <w:bCs/>
          <w:b/>
        </w:rPr>
        <w:t xml:space="preserve">Email Sending</w:t>
      </w:r>
      <w:r>
        <w:t xml:space="preserve">: The processed data is sent to the receiver via SMTP.</w:t>
      </w:r>
    </w:p>
    <w:bookmarkEnd w:id="27"/>
    <w:bookmarkStart w:id="28" w:name="security-requirements"/>
    <w:p>
      <w:pPr>
        <w:pStyle w:val="Heading2"/>
      </w:pPr>
      <w:r>
        <w:t xml:space="preserve">3.3 Security Requirements</w:t>
      </w:r>
    </w:p>
    <w:p>
      <w:pPr>
        <w:numPr>
          <w:ilvl w:val="0"/>
          <w:numId w:val="1004"/>
        </w:numPr>
        <w:pStyle w:val="Compact"/>
      </w:pPr>
      <w:r>
        <w:t xml:space="preserve">Basic authentication is disabled for both sender and receiver.</w:t>
      </w:r>
    </w:p>
    <w:p>
      <w:pPr>
        <w:numPr>
          <w:ilvl w:val="0"/>
          <w:numId w:val="1004"/>
        </w:numPr>
        <w:pStyle w:val="Compact"/>
      </w:pPr>
      <w:r>
        <w:t xml:space="preserve">SSL is used for secure communication with the IMAP and SMTP servers.</w:t>
      </w:r>
    </w:p>
    <w:bookmarkEnd w:id="28"/>
    <w:bookmarkEnd w:id="29"/>
    <w:bookmarkStart w:id="30" w:name="error-handling-and-logging"/>
    <w:p>
      <w:pPr>
        <w:pStyle w:val="Heading1"/>
      </w:pPr>
      <w:r>
        <w:t xml:space="preserve">4. Error Handling and Logging</w:t>
      </w:r>
    </w:p>
    <w:p>
      <w:pPr>
        <w:pStyle w:val="FirstParagraph"/>
      </w:pPr>
      <w:r>
        <w:t xml:space="preserve">The integration flow is configured to log all events. In case of errors, the flow will not return exceptions to the sender, allowing for smoother processing without interruptions.</w:t>
      </w:r>
    </w:p>
    <w:bookmarkEnd w:id="30"/>
    <w:bookmarkStart w:id="31" w:name="testing-validation"/>
    <w:p>
      <w:pPr>
        <w:pStyle w:val="Heading1"/>
      </w:pPr>
      <w:r>
        <w:t xml:space="preserve">5. Testing Validation</w:t>
      </w:r>
    </w:p>
    <w:tbl>
      <w:tblPr>
        <w:tblStyle w:val="Table"/>
        <w:tblW w:type="pct" w:w="5000"/>
        <w:tblLook w:firstRow="1" w:lastRow="0" w:firstColumn="0" w:lastColumn="0" w:noHBand="0" w:noVBand="0" w:val="0020"/>
        <w:jc w:val="start"/>
      </w:tblPr>
      <w:tblGrid>
        <w:gridCol w:w="2640"/>
        <w:gridCol w:w="1885"/>
        <w:gridCol w:w="3394"/>
      </w:tblGrid>
      <w:tr>
        <w:trPr>
          <w:tblHeader w:val="true"/>
        </w:trPr>
        <w:tc>
          <w:tcPr/>
          <w:p>
            <w:pPr>
              <w:pStyle w:val="Compact"/>
              <w:jc w:val="left"/>
            </w:pPr>
            <w:r>
              <w:t xml:space="preserve">Test Case ID</w:t>
            </w:r>
          </w:p>
        </w:tc>
        <w:tc>
          <w:tcPr/>
          <w:p>
            <w:pPr>
              <w:pStyle w:val="Compact"/>
              <w:jc w:val="left"/>
            </w:pPr>
            <w:r>
              <w:t xml:space="preserve">Scenario</w:t>
            </w:r>
          </w:p>
        </w:tc>
        <w:tc>
          <w:tcPr/>
          <w:p>
            <w:pPr>
              <w:pStyle w:val="Compact"/>
              <w:jc w:val="left"/>
            </w:pPr>
            <w:r>
              <w:t xml:space="preserve">Expected Outcome</w:t>
            </w:r>
          </w:p>
        </w:tc>
      </w:tr>
      <w:tr>
        <w:tc>
          <w:tcPr/>
          <w:p>
            <w:pPr>
              <w:pStyle w:val="Compact"/>
              <w:jc w:val="left"/>
            </w:pPr>
            <w:r>
              <w:t xml:space="preserve">TC_001</w:t>
            </w:r>
          </w:p>
        </w:tc>
        <w:tc>
          <w:tcPr/>
          <w:p>
            <w:pPr>
              <w:pStyle w:val="Compact"/>
              <w:jc w:val="left"/>
            </w:pPr>
            <w:r>
              <w:t xml:space="preserve">Retrieve unread emails from Gmail</w:t>
            </w:r>
          </w:p>
        </w:tc>
        <w:tc>
          <w:tcPr/>
          <w:p>
            <w:pPr>
              <w:pStyle w:val="Compact"/>
              <w:jc w:val="left"/>
            </w:pPr>
            <w:r>
              <w:t xml:space="preserve">Emails are successfully retrieved from the inbox.</w:t>
            </w:r>
          </w:p>
        </w:tc>
      </w:tr>
      <w:tr>
        <w:tc>
          <w:tcPr/>
          <w:p>
            <w:pPr>
              <w:pStyle w:val="Compact"/>
              <w:jc w:val="left"/>
            </w:pPr>
            <w:r>
              <w:t xml:space="preserve">TC_002</w:t>
            </w:r>
          </w:p>
        </w:tc>
        <w:tc>
          <w:tcPr/>
          <w:p>
            <w:pPr>
              <w:pStyle w:val="Compact"/>
              <w:jc w:val="left"/>
            </w:pPr>
            <w:r>
              <w:t xml:space="preserve">Process email content with Groovy script</w:t>
            </w:r>
          </w:p>
        </w:tc>
        <w:tc>
          <w:tcPr/>
          <w:p>
            <w:pPr>
              <w:pStyle w:val="Compact"/>
              <w:jc w:val="left"/>
            </w:pPr>
            <w:r>
              <w:t xml:space="preserve">Email content is processed without errors.</w:t>
            </w:r>
          </w:p>
        </w:tc>
      </w:tr>
      <w:tr>
        <w:tc>
          <w:tcPr/>
          <w:p>
            <w:pPr>
              <w:pStyle w:val="Compact"/>
              <w:jc w:val="left"/>
            </w:pPr>
            <w:r>
              <w:t xml:space="preserve">TC_003</w:t>
            </w:r>
          </w:p>
        </w:tc>
        <w:tc>
          <w:tcPr/>
          <w:p>
            <w:pPr>
              <w:pStyle w:val="Compact"/>
              <w:jc w:val="left"/>
            </w:pPr>
            <w:r>
              <w:t xml:space="preserve">Send processed email to recipient</w:t>
            </w:r>
          </w:p>
        </w:tc>
        <w:tc>
          <w:tcPr/>
          <w:p>
            <w:pPr>
              <w:pStyle w:val="Compact"/>
              <w:jc w:val="left"/>
            </w:pPr>
            <w:r>
              <w:t xml:space="preserve">Email is sent successfully to the specified recipient.</w:t>
            </w:r>
          </w:p>
        </w:tc>
      </w:tr>
    </w:tbl>
    <w:bookmarkEnd w:id="31"/>
    <w:bookmarkStart w:id="32" w:name="reference-documents"/>
    <w:p>
      <w:pPr>
        <w:pStyle w:val="Heading1"/>
      </w:pPr>
      <w:r>
        <w:t xml:space="preserve">6. Reference Documents</w:t>
      </w:r>
    </w:p>
    <w:p>
      <w:pPr>
        <w:numPr>
          <w:ilvl w:val="0"/>
          <w:numId w:val="1005"/>
        </w:numPr>
        <w:pStyle w:val="Compact"/>
      </w:pPr>
      <w:r>
        <w:t xml:space="preserve">SAP CPI Documentation</w:t>
      </w:r>
    </w:p>
    <w:p>
      <w:pPr>
        <w:numPr>
          <w:ilvl w:val="0"/>
          <w:numId w:val="1005"/>
        </w:numPr>
        <w:pStyle w:val="Compact"/>
      </w:pPr>
      <w:r>
        <w:t xml:space="preserve">Email Protocol Specifications (IMAP, SMTP)</w:t>
      </w:r>
    </w:p>
    <w:p>
      <w:pPr>
        <w:numPr>
          <w:ilvl w:val="0"/>
          <w:numId w:val="1005"/>
        </w:numPr>
        <w:pStyle w:val="Compact"/>
      </w:pPr>
      <w:r>
        <w:t xml:space="preserve">Groovy Script Documentation</w:t>
      </w:r>
    </w:p>
    <w:bookmarkEnd w:id="32"/>
    <w:sectPr w:rsidR="00FC693F" w:rsidRPr="0006063C" w:rsidSect="00034616">
      <w:headerReference r:id="rId9" w:type="defaul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4535"/>
      <w:gridCol w:w="4535"/>
    </w:tblGrid>
    <w:tr>
      <w:tc>
        <w:tcPr>
          <w:tcW w:type="dxa" w:w="4535"/>
        </w:tcPr>
        <w:p>
          <w:pPr>
            <w:jc w:val="left"/>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sap.png"/>
                        <pic:cNvPicPr/>
                      </pic:nvPicPr>
                      <pic:blipFill>
                        <a:blip r:embed="rId1"/>
                        <a:stretch>
                          <a:fillRect/>
                        </a:stretch>
                      </pic:blipFill>
                      <pic:spPr>
                        <a:xfrm>
                          <a:off x="0" y="0"/>
                          <a:ext cx="1260000" cy="1260000"/>
                        </a:xfrm>
                        <a:prstGeom prst="rect"/>
                      </pic:spPr>
                    </pic:pic>
                  </a:graphicData>
                </a:graphic>
              </wp:inline>
            </w:drawing>
          </w:r>
        </w:p>
      </w:tc>
      <w:tc>
        <w:tcPr>
          <w:tcW w:type="dxa" w:w="4535"/>
        </w:tcPr>
        <w:p>
          <w:pPr>
            <w:jc w:val="right"/>
          </w:pPr>
          <w:r>
            <w:drawing>
              <wp:inline xmlns:a="http://schemas.openxmlformats.org/drawingml/2006/main" xmlns:pic="http://schemas.openxmlformats.org/drawingml/2006/picture">
                <wp:extent cx="1620000" cy="1620000"/>
                <wp:docPr id="2" name="Picture 2"/>
                <wp:cNvGraphicFramePr>
                  <a:graphicFrameLocks noChangeAspect="1"/>
                </wp:cNvGraphicFramePr>
                <a:graphic>
                  <a:graphicData uri="http://schemas.openxmlformats.org/drawingml/2006/picture">
                    <pic:pic>
                      <pic:nvPicPr>
                        <pic:cNvPr id="0" name="motiveminds.png"/>
                        <pic:cNvPicPr/>
                      </pic:nvPicPr>
                      <pic:blipFill>
                        <a:blip r:embed="rId2"/>
                        <a:stretch>
                          <a:fillRect/>
                        </a:stretch>
                      </pic:blipFill>
                      <pic:spPr>
                        <a:xfrm>
                          <a:off x="0" y="0"/>
                          <a:ext cx="1620000" cy="1620000"/>
                        </a:xfrm>
                        <a:prstGeom prst="rect"/>
                      </pic:spPr>
                    </pic:pic>
                  </a:graphicData>
                </a:graphic>
              </wp:inline>
            </w:drawing>
          </w:r>
        </w:p>
      </w:tc>
    </w:tr>
  </w:tbl>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2026-01-06T07:15:02Z</dcterms:created>
  <dcterms:modified xsi:type="dcterms:W3CDTF">2026-01-06T07:15:02Z</dcterms:modified>
</cp:coreProperties>
</file>

<file path=docProps/custom.xml><?xml version="1.0" encoding="utf-8"?>
<Properties xmlns="http://schemas.openxmlformats.org/officeDocument/2006/custom-properties" xmlns:vt="http://schemas.openxmlformats.org/officeDocument/2006/docPropsVTypes"/>
</file>