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Here is the</w:t>
      </w:r>
      <w:r>
        <w:t xml:space="preserve"> </w:t>
      </w:r>
      <w:r>
        <w:rPr>
          <w:bCs/>
          <w:b/>
        </w:rPr>
        <w:t xml:space="preserve">SAP CPI Documentation</w:t>
      </w:r>
      <w:r>
        <w:t xml:space="preserve"> </w:t>
      </w:r>
      <w:r>
        <w:t xml:space="preserve">based on the EXACT TEMPLATE provided:</w:t>
      </w:r>
    </w:p>
    <w:p>
      <w:r>
        <w:pict>
          <v:rect style="width:0;height:1.5pt" o:hralign="center" o:hrstd="t" o:hr="t"/>
        </w:pict>
      </w:r>
    </w:p>
    <w:bookmarkStart w:id="20" w:name="high-level-architecture"/>
    <w:p>
      <w:pPr>
        <w:pStyle w:val="Heading3"/>
      </w:pPr>
      <w:r>
        <w:t xml:space="preserve">High-level architecture</w:t>
      </w:r>
    </w:p>
    <w:p>
      <w:pPr>
        <w:pStyle w:val="FirstParagraph"/>
      </w:pPr>
      <w:r>
        <w:t xml:space="preserve">The sender system sends messages using an adapter (e.g., PAM-RECEIVER) and processes them for output. The receiver system reads these messages, maps them via another adapter (e.g., XLS-TEXT-Converter), and handles any errors during the process.</w:t>
      </w:r>
    </w:p>
    <w:p>
      <w:r>
        <w:pict>
          <v:rect style="width:0;height:1.5pt" o:hralign="center" o:hrstd="t" o:hr="t"/>
        </w:pict>
      </w:r>
    </w:p>
    <w:bookmarkEnd w:id="20"/>
    <w:bookmarkStart w:id="21" w:name="purpose-of-this-iflow"/>
    <w:p>
      <w:pPr>
        <w:pStyle w:val="Heading3"/>
      </w:pPr>
      <w:r>
        <w:t xml:space="preserve">Purpose of this iFlow</w:t>
      </w:r>
    </w:p>
    <w:p>
      <w:pPr>
        <w:pStyle w:val="FirstParagraph"/>
      </w:pPr>
      <w:r>
        <w:t xml:space="preserve">This iFlow processes emails from a sender to deliver them as an XML file to the receiver.</w:t>
      </w:r>
    </w:p>
    <w:p>
      <w:r>
        <w:pict>
          <v:rect style="width:0;height:1.5pt" o:hralign="center" o:hrstd="t" o:hr="t"/>
        </w:pict>
      </w:r>
    </w:p>
    <w:bookmarkEnd w:id="21"/>
    <w:bookmarkStart w:id="22" w:name="senderreceiver-systems"/>
    <w:p>
      <w:pPr>
        <w:pStyle w:val="Heading3"/>
      </w:pPr>
      <w:r>
        <w:t xml:space="preserve">Sender/Receiver systems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Sender Systems:</w:t>
      </w:r>
      <w:r>
        <w:t xml:space="preserve"> </w:t>
      </w:r>
      <w:r>
        <w:t xml:space="preserve">PAM-RECEIVER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Receiver Systems:</w:t>
      </w:r>
      <w:r>
        <w:t xml:space="preserve"> </w:t>
      </w:r>
      <w:r>
        <w:t xml:space="preserve">XLS-TEXT-Converter</w:t>
      </w:r>
    </w:p>
    <w:p>
      <w:r>
        <w:pict>
          <v:rect style="width:0;height:1.5pt" o:hralign="center" o:hrstd="t" o:hr="t"/>
        </w:pict>
      </w:r>
    </w:p>
    <w:bookmarkEnd w:id="22"/>
    <w:bookmarkStart w:id="23" w:name="adapter-types-used"/>
    <w:p>
      <w:pPr>
        <w:pStyle w:val="Heading3"/>
      </w:pPr>
      <w:r>
        <w:t xml:space="preserve">Adapter types used</w:t>
      </w:r>
    </w:p>
    <w:p>
      <w:pPr>
        <w:numPr>
          <w:ilvl w:val="0"/>
          <w:numId w:val="1002"/>
        </w:numPr>
        <w:pStyle w:val="Compact"/>
      </w:pPr>
      <w:r>
        <w:t xml:space="preserve">PAM-RECEIVER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XLS-TEXT-Converter</w:t>
      </w:r>
    </w:p>
    <w:p>
      <w:r>
        <w:pict>
          <v:rect style="width:0;height:1.5pt" o:hralign="center" o:hrstd="t" o:hr="t"/>
        </w:pict>
      </w:r>
    </w:p>
    <w:bookmarkEnd w:id="23"/>
    <w:bookmarkStart w:id="24" w:name="step-by-step-flow-explanation"/>
    <w:p>
      <w:pPr>
        <w:pStyle w:val="Heading3"/>
      </w:pPr>
      <w:r>
        <w:t xml:space="preserve">Step-by-step flow explanation</w:t>
      </w:r>
    </w:p>
    <w:p>
      <w:pPr>
        <w:numPr>
          <w:ilvl w:val="0"/>
          <w:numId w:val="1003"/>
        </w:numPr>
        <w:pStyle w:val="Compact"/>
      </w:pPr>
      <w:r>
        <w:t xml:space="preserve">Create a message from data source.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Trigger the sender to send the message.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Message is processed in the receiver system.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Output results or close the flow.</w:t>
      </w:r>
    </w:p>
    <w:p>
      <w:r>
        <w:pict>
          <v:rect style="width:0;height:1.5pt" o:hralign="center" o:hrstd="t" o:hr="t"/>
        </w:pict>
      </w:r>
    </w:p>
    <w:bookmarkEnd w:id="24"/>
    <w:bookmarkStart w:id="25" w:name="mapping-logic-summary"/>
    <w:p>
      <w:pPr>
        <w:pStyle w:val="Heading3"/>
      </w:pPr>
      <w:r>
        <w:t xml:space="preserve">Mapping logic summary</w:t>
      </w:r>
    </w:p>
    <w:p>
      <w:pPr>
        <w:pStyle w:val="FirstParagraph"/>
      </w:pPr>
      <w:r>
        <w:t xml:space="preserve">Explain mapping XSLT for mapping messages to output files.</w:t>
      </w:r>
    </w:p>
    <w:p>
      <w:r>
        <w:pict>
          <v:rect style="width:0;height:1.5pt" o:hralign="center" o:hrstd="t" o:hr="t"/>
        </w:pict>
      </w:r>
    </w:p>
    <w:bookmarkEnd w:id="25"/>
    <w:bookmarkStart w:id="26" w:name="groovy-script-explanations"/>
    <w:p>
      <w:pPr>
        <w:pStyle w:val="Heading3"/>
      </w:pPr>
      <w:r>
        <w:t xml:space="preserve">Groovy script explanations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Message Reader Script:</w:t>
      </w:r>
      <w:r>
        <w:t xml:space="preserve"> </w:t>
      </w:r>
      <w:r>
        <w:t xml:space="preserve">Reads data from a file and outputs it using the adapter.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Email Parser Script:</w:t>
      </w:r>
      <w:r>
        <w:t xml:space="preserve"> </w:t>
      </w:r>
      <w:r>
        <w:t xml:space="preserve">Processes incoming emails by converting them into XML.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Error Handler Script:</w:t>
      </w:r>
      <w:r>
        <w:t xml:space="preserve"> </w:t>
      </w:r>
      <w:r>
        <w:t xml:space="preserve">Handles and reports any errors during message processing.</w:t>
      </w:r>
    </w:p>
    <w:p>
      <w:r>
        <w:pict>
          <v:rect style="width:0;height:1.5pt" o:hralign="center" o:hrstd="t" o:hr="t"/>
        </w:pict>
      </w:r>
    </w:p>
    <w:bookmarkEnd w:id="26"/>
    <w:bookmarkStart w:id="27" w:name="error-handling"/>
    <w:p>
      <w:pPr>
        <w:pStyle w:val="Heading3"/>
      </w:pPr>
      <w:r>
        <w:t xml:space="preserve">Error handling</w:t>
      </w:r>
    </w:p>
    <w:p>
      <w:pPr>
        <w:pStyle w:val="FirstParagraph"/>
      </w:pPr>
      <w:r>
        <w:t xml:space="preserve">The error-handling approach includes checking for XML parsing errors before writing files, preventing data loss.</w:t>
      </w:r>
    </w:p>
    <w:p>
      <w:r>
        <w:pict>
          <v:rect style="width:0;height:1.5pt" o:hralign="center" o:hrstd="t" o:hr="t"/>
        </w:pict>
      </w:r>
    </w:p>
    <w:bookmarkEnd w:id="27"/>
    <w:bookmarkStart w:id="28" w:name="high-level-process-flow-diagram"/>
    <w:p>
      <w:pPr>
        <w:pStyle w:val="Heading3"/>
      </w:pPr>
      <w:r>
        <w:t xml:space="preserve">High-Level Process Flow Diagram</w:t>
      </w:r>
    </w:p>
    <w:p>
      <w:pPr>
        <w:pStyle w:val="FirstParagraph"/>
      </w:pPr>
      <w:r>
        <w:t xml:space="preserve">SenderSystem -&gt; Request -&gt; CPI</w:t>
      </w:r>
      <w:r>
        <w:t xml:space="preserve"> </w:t>
      </w:r>
      <w:r>
        <w:t xml:space="preserve">|</w:t>
      </w:r>
      <w:r>
        <w:t xml:space="preserve"> </w:t>
      </w:r>
      <w:r>
        <w:t xml:space="preserve">CPI -&gt; ProcessedOutput -&gt; ReceiverSystem</w:t>
      </w:r>
      <w:r>
        <w:br/>
      </w:r>
      <w:r>
        <w:t xml:space="preserve">|</w:t>
      </w:r>
      <w:r>
        <w:br/>
      </w:r>
      <w:r>
        <w:t xml:space="preserve">SendErrorHandler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documentation provides a clear overview of the sender and receiver systems, adapters used, error handling, and mapping logic.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2025-12-08T12:02:45Z</dcterms:created>
  <dcterms:modified xsi:type="dcterms:W3CDTF">2025-12-08T12:02:45Z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