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864"/>
          <w:sz w:val="64"/>
        </w:rPr>
        <w:t>PRD_IF_EmployeeCreation_SF_to_S4_MDF_copy_100228</w:t>
      </w:r>
    </w:p>
    <w:p>
      <w:pPr>
        <w:jc w:val="center"/>
      </w:pPr>
      <w:r>
        <w:t>Technical Specification Document</w:t>
      </w:r>
    </w:p>
    <w:p>
      <w:r>
        <w:br/>
        <w:br/>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Sindhu</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t>Table of Contents</w:t>
      </w:r>
    </w:p>
    <w:p>
      <w:r>
        <w:t>1. Introduction</w:t>
      </w:r>
    </w:p>
    <w:p>
      <w:pPr>
        <w:ind w:left="432"/>
      </w:pPr>
      <w:r>
        <w:t>1.1 Purpose</w:t>
      </w:r>
    </w:p>
    <w:p>
      <w:pPr>
        <w:ind w:left="432"/>
      </w:pPr>
      <w:r>
        <w:t>1.2 Scope</w:t>
      </w:r>
    </w:p>
    <w:p>
      <w:r>
        <w:t>2. Integration Overview</w:t>
      </w:r>
    </w:p>
    <w:p>
      <w:pPr>
        <w:ind w:left="432"/>
      </w:pPr>
      <w:r>
        <w:t>2.1 Integration Architecture</w:t>
      </w:r>
    </w:p>
    <w:p>
      <w:pPr>
        <w:ind w:left="432"/>
      </w:pPr>
      <w:r>
        <w:t>2.2 Integration Components</w:t>
      </w:r>
    </w:p>
    <w:p>
      <w:r>
        <w:t>3. Integration Scenarios</w:t>
      </w:r>
    </w:p>
    <w:p>
      <w:pPr>
        <w:ind w:left="432"/>
      </w:pPr>
      <w:r>
        <w:t>3.1 Scenario Description</w:t>
      </w:r>
    </w:p>
    <w:p>
      <w:pPr>
        <w:ind w:left="432"/>
      </w:pPr>
      <w:r>
        <w:t>3.2 Data Flows</w:t>
      </w:r>
    </w:p>
    <w:p>
      <w:pPr>
        <w:ind w:left="432"/>
      </w:pPr>
      <w:r>
        <w:t>3.3 Security Requirements</w:t>
      </w:r>
    </w:p>
    <w:p>
      <w:r>
        <w:t>4. Error Handling and Logging</w:t>
      </w:r>
    </w:p>
    <w:p>
      <w:r>
        <w:t>5. Testing Validation</w:t>
      </w:r>
    </w:p>
    <w:p>
      <w:r>
        <w:t>6. Reference Documents</w:t>
      </w:r>
    </w:p>
    <w:p>
      <w:r>
        <w:br w:type="page"/>
      </w:r>
    </w:p>
    <w:p>
      <w:pPr>
        <w:pStyle w:val="Heading1"/>
      </w:pPr>
      <w:r>
        <w:rPr>
          <w:color w:val="1F3864"/>
          <w:sz w:val="32"/>
        </w:rPr>
        <w:t>1. Introduction</w:t>
      </w:r>
    </w:p>
    <w:p>
      <w:pPr>
        <w:pStyle w:val="Heading2"/>
      </w:pPr>
      <w:r>
        <w:rPr>
          <w:color w:val="1F3864"/>
          <w:sz w:val="26"/>
        </w:rPr>
        <w:t>1.1 Purpose</w:t>
      </w:r>
    </w:p>
    <w:p>
      <w:r>
        <w:t>This iFlow is designed to facilitate the creation of employee records in S4HANA using data sourced from SuccessFactors MDF (Metadata Framework). It ensures seamless integration between the two systems, allowing for accurate and timely updates of employee information.</w:t>
      </w:r>
    </w:p>
    <w:p>
      <w:pPr>
        <w:pStyle w:val="Heading2"/>
      </w:pPr>
      <w:r>
        <w:rPr>
          <w:color w:val="1F3864"/>
          <w:sz w:val="26"/>
        </w:rPr>
        <w:t>1.2 Scope</w:t>
      </w:r>
    </w:p>
    <w:p>
      <w:r>
        <w:t>The iFlow encompasses the transformation and routing of employee data from SuccessFactors to S4HANA's MDF entity, ensuring field mappings, data validation, and appropriate error handling mechanisms are in place.</w:t>
      </w:r>
    </w:p>
    <w:p>
      <w:pPr>
        <w:pStyle w:val="Heading1"/>
      </w:pPr>
      <w:r>
        <w:rPr>
          <w:color w:val="1F3864"/>
          <w:sz w:val="32"/>
        </w:rPr>
        <w:t>2. Integration Overview</w:t>
      </w:r>
    </w:p>
    <w:p>
      <w:pPr>
        <w:pStyle w:val="Heading2"/>
      </w:pPr>
      <w:r>
        <w:rPr>
          <w:color w:val="1F3864"/>
          <w:sz w:val="26"/>
        </w:rPr>
        <w:t>2.1 Integration Architecture</w:t>
      </w:r>
    </w:p>
    <w:p>
      <w:r>
        <w:t>{'components': ['SAP Cloud Platform Integration (CPI)', 'SuccessFactors API', 'S4HANA API', 'Message Mapping', 'Integration Flow (iFlow) Configuration'], 'deployment': 'The iFlow is deployed on the SAP Cloud Platform, leveraging cloud-based services for integration and orchestration.'}</w:t>
      </w:r>
    </w:p>
    <w:p>
      <w:pPr>
        <w:pStyle w:val="Heading2"/>
      </w:pPr>
      <w:r>
        <w:rPr>
          <w:color w:val="1F3864"/>
          <w:sz w:val="26"/>
        </w:rPr>
        <w:t>2.2 Integration Components</w:t>
      </w:r>
    </w:p>
    <w:p>
      <w:r>
        <w:t>{'Source': 'SuccessFactors', 'Target': 'S4HANA', 'Transformation': 'Message Mapping for data transformation', 'Routing': 'Integration patterns to route messages appropriately', 'Error Handling': 'Error handling routines for logging and notifications'}</w:t>
      </w:r>
    </w:p>
    <w:p>
      <w:pPr>
        <w:pStyle w:val="Heading1"/>
      </w:pPr>
      <w:r>
        <w:rPr>
          <w:color w:val="1F3864"/>
          <w:sz w:val="32"/>
        </w:rPr>
        <w:t>3. Integration Scenarios</w:t>
      </w:r>
    </w:p>
    <w:p>
      <w:pPr>
        <w:pStyle w:val="Heading2"/>
      </w:pPr>
      <w:r>
        <w:rPr>
          <w:color w:val="1F3864"/>
          <w:sz w:val="26"/>
        </w:rPr>
        <w:t>3.1 Scenario Description</w:t>
      </w:r>
    </w:p>
    <w:p>
      <w:r>
        <w:t>The iFlow initiates when an employee record is created in SuccessFactors. It captures the employee data, transforms it according to S4HANA's requirements, and then pushes the data to S4HANA, creating a corresponding employee record in an MDF structure.</w:t>
      </w:r>
    </w:p>
    <w:p>
      <w:pPr>
        <w:pStyle w:val="Heading2"/>
      </w:pPr>
      <w:r>
        <w:rPr>
          <w:color w:val="1F3864"/>
          <w:sz w:val="26"/>
        </w:rPr>
        <w:t>3.2 Data Flows</w:t>
      </w:r>
    </w:p>
    <w:p>
      <w:r>
        <w:t>[{'flow_id': '001', 'description': 'Fetches employee data from SuccessFactors upon creation event.', 'source': 'SuccessFactors API', 'target': 'S4HANA API', 'transformation': 'Field mappings from SuccessFactors to S4HANA', 'trigger': 'Employee creation event'}]</w:t>
      </w:r>
    </w:p>
    <w:p>
      <w:pPr>
        <w:pStyle w:val="Heading2"/>
      </w:pPr>
      <w:r>
        <w:rPr>
          <w:color w:val="1F3864"/>
          <w:sz w:val="26"/>
        </w:rPr>
        <w:t>3.3 Security Requirements</w:t>
      </w:r>
    </w:p>
    <w:p>
      <w:r>
        <w:t>{'authentication': 'OAuth 2.0 is used to authenticate API calls between SuccessFactors and S4HANA.', 'data_encryption': 'Data is encrypted in transit using TLS to ensure security.', 'access_control': 'Role-based access control is implemented for system users accessing the iFlow.'}</w:t>
      </w:r>
    </w:p>
    <w:p>
      <w:pPr>
        <w:pStyle w:val="Heading1"/>
      </w:pPr>
      <w:r>
        <w:rPr>
          <w:color w:val="1F3864"/>
          <w:sz w:val="32"/>
        </w:rPr>
        <w:t>4. Error Handling and Logging</w:t>
      </w:r>
    </w:p>
    <w:p>
      <w:r>
        <w:t>{'logging': 'Errors are logged for further analysis and monitoring in SAP CPI.', 'notification': 'Alerts are sent to the integration administrators in case of critical failures.', 'retries': 'Automatic retries are scheduled for transient errors.'}</w:t>
      </w:r>
    </w:p>
    <w:p>
      <w:pPr>
        <w:pStyle w:val="Heading1"/>
      </w:pPr>
      <w:r>
        <w:rPr>
          <w:color w:val="1F3864"/>
          <w:sz w:val="32"/>
        </w:rPr>
        <w:t>5. Testing Validation</w:t>
      </w:r>
    </w:p>
    <w:p>
      <w:r>
        <w:t>{'unit_testing': 'Individual components are tested for their functionality before deployment.', 'integration_testing': 'Full end-to-end testing is performed in a sandbox environment to validate the integration.', 'user_acceptance_testing': 'Final review by stakeholders to ensure alignment with business requirements.'}</w:t>
      </w:r>
    </w:p>
    <w:p>
      <w:pPr>
        <w:pStyle w:val="Heading1"/>
      </w:pPr>
      <w:r>
        <w:rPr>
          <w:color w:val="1F3864"/>
          <w:sz w:val="32"/>
        </w:rPr>
        <w:t>6. Reference Documents</w:t>
      </w:r>
    </w:p>
    <w:p>
      <w:r>
        <w:t>[{'title': 'SAP Cloud Integration Documentation', 'url': 'https://help.sap.com/viewer/product/SAP_CLOUD_PLATFORM_INTEGRATION/1.0/en-US'}, {'title': 'SuccessFactors API Guide', 'url': 'https://api.sap.com/api/SUCCESSFACTORS_PROFILE/v1'}, {'title': 'S4HANA API Reference', 'url': 'https://api.sap.com/api/ABAP_S4HANA/v1'}]</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548640" cy="54864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548640" cy="54864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548640" cy="54864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548640" cy="54864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