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integrationflow</w:t>
      </w:r>
    </w:p>
    <w:p>
      <w:pPr>
        <w:pStyle w:val="BodyText"/>
      </w:pPr>
      <w:r>
        <w:t xml:space="preserve">Technical Specification Document</w:t>
      </w:r>
    </w:p>
    <w:p>
      <w:pPr>
        <w:pStyle w:val="BodyText"/>
      </w:pPr>
    </w:p>
    <w:p>
      <w:pPr>
        <w:pStyle w:val="BodyText"/>
      </w:pPr>
      <w:r>
        <w:t xml:space="preserve">Author</w:t>
      </w:r>
    </w:p>
    <w:p>
      <w:pPr>
        <w:pStyle w:val="BodyText"/>
      </w:pPr>
      <w:r>
        <w:t xml:space="preserve">github-actions</w:t>
      </w:r>
    </w:p>
    <w:p>
      <w:pPr>
        <w:pStyle w:val="BodyText"/>
      </w:pPr>
      <w:r>
        <w:t xml:space="preserve">Date</w:t>
      </w:r>
    </w:p>
    <w:p>
      <w:pPr>
        <w:pStyle w:val="BodyText"/>
      </w:pPr>
      <w:r>
        <w:t xml:space="preserve">2026-01-06</w:t>
      </w:r>
    </w:p>
    <w:p>
      <w:pPr>
        <w:pStyle w:val="BodyText"/>
      </w:pPr>
      <w:r>
        <w:t xml:space="preserve">Version</w:t>
      </w:r>
    </w:p>
    <w:p>
      <w:pPr>
        <w:pStyle w:val="BodyText"/>
      </w:pPr>
      <w:r>
        <w:t xml:space="preserve">1.0.0</w:t>
      </w:r>
    </w:p>
    <w:p>
      <w:pPr>
        <w:pStyle w:val="BodyText"/>
      </w:pPr>
      <w:r>
        <w:t xml:space="preserve">Table of Contents</w:t>
      </w:r>
    </w:p>
    <w:p>
      <w:pPr>
        <w:numPr>
          <w:ilvl w:val="0"/>
          <w:numId w:val="1001"/>
        </w:numPr>
        <w:pStyle w:val="Compact"/>
      </w:pPr>
      <w:r>
        <w:t xml:space="preserve">Introduction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Integration Overview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Integration Scenarios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Error Handling and Logging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Testing Validation</w:t>
      </w:r>
      <w:r>
        <w:br/>
      </w:r>
    </w:p>
    <w:p>
      <w:pPr>
        <w:numPr>
          <w:ilvl w:val="0"/>
          <w:numId w:val="1001"/>
        </w:numPr>
        <w:pStyle w:val="Compact"/>
      </w:pPr>
      <w:r>
        <w:t xml:space="preserve">Reference Documents</w:t>
      </w:r>
    </w:p>
    <w:bookmarkStart w:id="22" w:name="introduction"/>
    <w:p>
      <w:pPr>
        <w:pStyle w:val="Heading1"/>
      </w:pPr>
      <w:r>
        <w:t xml:space="preserve">1. Introduction</w:t>
      </w:r>
    </w:p>
    <w:bookmarkStart w:id="20" w:name="purpose"/>
    <w:p>
      <w:pPr>
        <w:pStyle w:val="Heading2"/>
      </w:pPr>
      <w:r>
        <w:t xml:space="preserve">1.1 Purpose</w:t>
      </w:r>
    </w:p>
    <w:p>
      <w:pPr>
        <w:pStyle w:val="FirstParagraph"/>
      </w:pPr>
      <w:r>
        <w:t xml:space="preserve">This document provides a comprehensive overview of the iFlow named</w:t>
      </w:r>
      <w:r>
        <w:t xml:space="preserve"> </w:t>
      </w:r>
      <w:r>
        <w:t xml:space="preserve">‘</w:t>
      </w:r>
      <w:r>
        <w:t xml:space="preserve">integrationflow</w:t>
      </w:r>
      <w:r>
        <w:t xml:space="preserve">’</w:t>
      </w:r>
      <w:r>
        <w:t xml:space="preserve">, detailing its integration architecture, components, scenarios, error handling, and testing validation.</w:t>
      </w:r>
    </w:p>
    <w:bookmarkEnd w:id="20"/>
    <w:bookmarkStart w:id="21" w:name="scope"/>
    <w:p>
      <w:pPr>
        <w:pStyle w:val="Heading2"/>
      </w:pPr>
      <w:r>
        <w:t xml:space="preserve">1.2 Scope</w:t>
      </w:r>
    </w:p>
    <w:p>
      <w:pPr>
        <w:pStyle w:val="FirstParagraph"/>
      </w:pPr>
      <w:r>
        <w:t xml:space="preserve">The scope of this document includes the integration flow</w:t>
      </w:r>
      <w:r>
        <w:t xml:space="preserve"> </w:t>
      </w:r>
      <w:r>
        <w:t xml:space="preserve">‘</w:t>
      </w:r>
      <w:r>
        <w:t xml:space="preserve">integrationflow</w:t>
      </w:r>
      <w:r>
        <w:t xml:space="preserve">’</w:t>
      </w:r>
      <w:r>
        <w:t xml:space="preserve"> </w:t>
      </w:r>
      <w:r>
        <w:t xml:space="preserve">which connects various systems using SAP Cloud Platform Integration (CPI). It covers the architecture, data flows, security requirements, error handling mechanisms, and testing strategies.</w:t>
      </w:r>
    </w:p>
    <w:bookmarkEnd w:id="21"/>
    <w:bookmarkEnd w:id="22"/>
    <w:bookmarkStart w:id="25" w:name="integration-overview"/>
    <w:p>
      <w:pPr>
        <w:pStyle w:val="Heading1"/>
      </w:pPr>
      <w:r>
        <w:t xml:space="preserve">2. Integration Overview</w:t>
      </w:r>
    </w:p>
    <w:bookmarkStart w:id="23" w:name="integration-architecture"/>
    <w:p>
      <w:pPr>
        <w:pStyle w:val="Heading2"/>
      </w:pPr>
      <w:r>
        <w:t xml:space="preserve">2.1 Integration Architecture</w:t>
      </w:r>
    </w:p>
    <w:p>
      <w:pPr>
        <w:pStyle w:val="FirstParagraph"/>
      </w:pPr>
      <w:r>
        <w:t xml:space="preserve">The integration architecture consists of multiple participants including SuccessFactors (SF), SOAP receivers, and various integration processes. The architecture facilitates data exchange between these systems through message flows and service tasks.</w:t>
      </w:r>
    </w:p>
    <w:bookmarkEnd w:id="23"/>
    <w:bookmarkStart w:id="24" w:name="integration-components"/>
    <w:p>
      <w:pPr>
        <w:pStyle w:val="Heading2"/>
      </w:pPr>
      <w:r>
        <w:t xml:space="preserve">2.2 Integration Components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Participants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t xml:space="preserve">SF</w:t>
      </w:r>
    </w:p>
    <w:p>
      <w:pPr>
        <w:numPr>
          <w:ilvl w:val="1"/>
          <w:numId w:val="1003"/>
        </w:numPr>
        <w:pStyle w:val="Compact"/>
      </w:pPr>
      <w:r>
        <w:t xml:space="preserve">SF_Receiver_Perpersonal</w:t>
      </w:r>
    </w:p>
    <w:p>
      <w:pPr>
        <w:numPr>
          <w:ilvl w:val="1"/>
          <w:numId w:val="1003"/>
        </w:numPr>
        <w:pStyle w:val="Compact"/>
      </w:pPr>
      <w:r>
        <w:t xml:space="preserve">SF_Receiver_Resignations</w:t>
      </w:r>
    </w:p>
    <w:p>
      <w:pPr>
        <w:numPr>
          <w:ilvl w:val="1"/>
          <w:numId w:val="1003"/>
        </w:numPr>
        <w:pStyle w:val="Compact"/>
      </w:pPr>
      <w:r>
        <w:t xml:space="preserve">SF_Receiver_CostCentres</w:t>
      </w:r>
    </w:p>
    <w:p>
      <w:pPr>
        <w:numPr>
          <w:ilvl w:val="1"/>
          <w:numId w:val="1003"/>
        </w:numPr>
        <w:pStyle w:val="Compact"/>
      </w:pPr>
      <w:r>
        <w:t xml:space="preserve">Receiver1</w:t>
      </w:r>
    </w:p>
    <w:p>
      <w:pPr>
        <w:numPr>
          <w:ilvl w:val="1"/>
          <w:numId w:val="1003"/>
        </w:numPr>
        <w:pStyle w:val="Compact"/>
      </w:pPr>
      <w:r>
        <w:t xml:space="preserve">Receiver3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Processes</w:t>
      </w:r>
      <w:r>
        <w:t xml:space="preserve">:</w:t>
      </w:r>
    </w:p>
    <w:p>
      <w:pPr>
        <w:numPr>
          <w:ilvl w:val="1"/>
          <w:numId w:val="1004"/>
        </w:numPr>
        <w:pStyle w:val="Compact"/>
      </w:pPr>
      <w:r>
        <w:t xml:space="preserve">GetAllPerPersonal</w:t>
      </w:r>
    </w:p>
    <w:p>
      <w:pPr>
        <w:numPr>
          <w:ilvl w:val="1"/>
          <w:numId w:val="1004"/>
        </w:numPr>
        <w:pStyle w:val="Compact"/>
      </w:pPr>
      <w:r>
        <w:t xml:space="preserve">GetAllResignations</w:t>
      </w:r>
    </w:p>
    <w:p>
      <w:pPr>
        <w:numPr>
          <w:ilvl w:val="1"/>
          <w:numId w:val="1004"/>
        </w:numPr>
        <w:pStyle w:val="Compact"/>
      </w:pPr>
      <w:r>
        <w:t xml:space="preserve">GetAllCostCentres</w:t>
      </w:r>
    </w:p>
    <w:p>
      <w:pPr>
        <w:numPr>
          <w:ilvl w:val="1"/>
          <w:numId w:val="1004"/>
        </w:numPr>
        <w:pStyle w:val="Compact"/>
      </w:pPr>
      <w:r>
        <w:t xml:space="preserve">Integration Process</w:t>
      </w:r>
    </w:p>
    <w:bookmarkEnd w:id="24"/>
    <w:bookmarkEnd w:id="25"/>
    <w:bookmarkStart w:id="29" w:name="integration-scenarios"/>
    <w:p>
      <w:pPr>
        <w:pStyle w:val="Heading1"/>
      </w:pPr>
      <w:r>
        <w:t xml:space="preserve">3. Integration Scenarios</w:t>
      </w:r>
    </w:p>
    <w:bookmarkStart w:id="26" w:name="scenario-description"/>
    <w:p>
      <w:pPr>
        <w:pStyle w:val="Heading2"/>
      </w:pPr>
      <w:r>
        <w:t xml:space="preserve">3.1 Scenario Description</w:t>
      </w:r>
    </w:p>
    <w:p>
      <w:pPr>
        <w:pStyle w:val="FirstParagraph"/>
      </w:pPr>
      <w:r>
        <w:t xml:space="preserve">The integration flow handles multiple scenarios including retrieving personnel data, resignations, and cost centers from SuccessFactors and sending them to respective receivers.</w:t>
      </w:r>
    </w:p>
    <w:bookmarkEnd w:id="26"/>
    <w:bookmarkStart w:id="27" w:name="data-flows"/>
    <w:p>
      <w:pPr>
        <w:pStyle w:val="Heading2"/>
      </w:pPr>
      <w:r>
        <w:t xml:space="preserve">3.2 Data Flows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GetAllPerPersonal</w:t>
      </w:r>
      <w:r>
        <w:t xml:space="preserve">: Retrieves personnel data from SuccessFactors and sends it to SF_Receiver_Perpersonal.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GetAllResignations</w:t>
      </w:r>
      <w:r>
        <w:t xml:space="preserve">: Retrieves resignation data from SuccessFactors and sends it to SF_Receiver_Resignations.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GetAllCostCentres</w:t>
      </w:r>
      <w:r>
        <w:t xml:space="preserve">: Retrieves cost center data from SuccessFactors and sends it to SF_Receiver_CostCentres.</w:t>
      </w:r>
    </w:p>
    <w:bookmarkEnd w:id="27"/>
    <w:bookmarkStart w:id="28" w:name="security-requirements"/>
    <w:p>
      <w:pPr>
        <w:pStyle w:val="Heading2"/>
      </w:pPr>
      <w:r>
        <w:t xml:space="preserve">3.3 Security Requirements</w:t>
      </w:r>
    </w:p>
    <w:p>
      <w:pPr>
        <w:numPr>
          <w:ilvl w:val="0"/>
          <w:numId w:val="1006"/>
        </w:numPr>
        <w:pStyle w:val="Compact"/>
      </w:pPr>
      <w:r>
        <w:t xml:space="preserve">Authentication methods for SuccessFactors and SOAP receivers.</w:t>
      </w:r>
    </w:p>
    <w:p>
      <w:pPr>
        <w:numPr>
          <w:ilvl w:val="0"/>
          <w:numId w:val="1006"/>
        </w:numPr>
        <w:pStyle w:val="Compact"/>
      </w:pPr>
      <w:r>
        <w:t xml:space="preserve">Use of secure protocols (HTTPS) for data transmission.</w:t>
      </w:r>
    </w:p>
    <w:p>
      <w:pPr>
        <w:numPr>
          <w:ilvl w:val="0"/>
          <w:numId w:val="1006"/>
        </w:numPr>
        <w:pStyle w:val="Compact"/>
      </w:pPr>
      <w:r>
        <w:t xml:space="preserve">Proper handling of sensitive information through encryption.</w:t>
      </w:r>
    </w:p>
    <w:bookmarkEnd w:id="28"/>
    <w:bookmarkEnd w:id="29"/>
    <w:bookmarkStart w:id="30" w:name="error-handling-and-logging"/>
    <w:p>
      <w:pPr>
        <w:pStyle w:val="Heading1"/>
      </w:pPr>
      <w:r>
        <w:t xml:space="preserve">4. Error Handling and Logging</w:t>
      </w:r>
    </w:p>
    <w:p>
      <w:pPr>
        <w:pStyle w:val="FirstParagraph"/>
      </w:pPr>
      <w:r>
        <w:t xml:space="preserve">The integration flow includes error handling mechanisms that log errors and exceptions. It utilizes a subprocess for error handling, which captures error responses and logs them for further analysis.</w:t>
      </w:r>
    </w:p>
    <w:bookmarkEnd w:id="30"/>
    <w:bookmarkStart w:id="31" w:name="testing-validation"/>
    <w:p>
      <w:pPr>
        <w:pStyle w:val="Heading1"/>
      </w:pPr>
      <w:r>
        <w:t xml:space="preserve">5. Testing Validation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179"/>
        <w:gridCol w:w="2696"/>
        <w:gridCol w:w="404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Test Case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Expected Outcome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TC_001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Retrieve Personnel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Personnel data is successfully retrieved and sent to SF_Receiver_Perpersonal.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TC_002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Retrieve Resignation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Resignation data is successfully retrieved and sent to SF_Receiver_Resignations.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TC_003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Retrieve Cost Center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Cost center data is successfully retrieved and sent to SF_Receiver_CostCentres.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TC_004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 Handling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Errors are logged correctly and handled without disrupting the flow.</w:t>
            </w:r>
          </w:p>
        </w:tc>
      </w:tr>
    </w:tbl>
    <w:bookmarkEnd w:id="31"/>
    <w:bookmarkStart w:id="32" w:name="reference-documents"/>
    <w:p>
      <w:pPr>
        <w:pStyle w:val="Heading1"/>
      </w:pPr>
      <w:r>
        <w:t xml:space="preserve">6. Reference Documents</w:t>
      </w:r>
    </w:p>
    <w:p>
      <w:pPr>
        <w:numPr>
          <w:ilvl w:val="0"/>
          <w:numId w:val="1007"/>
        </w:numPr>
        <w:pStyle w:val="Compact"/>
      </w:pPr>
      <w:r>
        <w:t xml:space="preserve">SAP Cloud Platform Integration Documentation</w:t>
      </w:r>
    </w:p>
    <w:p>
      <w:pPr>
        <w:numPr>
          <w:ilvl w:val="0"/>
          <w:numId w:val="1007"/>
        </w:numPr>
        <w:pStyle w:val="Compact"/>
      </w:pPr>
      <w:r>
        <w:t xml:space="preserve">SuccessFactors API Documentation</w:t>
      </w:r>
    </w:p>
    <w:p>
      <w:pPr>
        <w:numPr>
          <w:ilvl w:val="0"/>
          <w:numId w:val="1007"/>
        </w:numPr>
        <w:pStyle w:val="Compact"/>
      </w:pPr>
      <w:r>
        <w:t xml:space="preserve">SOAP Web Services Documentation</w:t>
      </w:r>
    </w:p>
    <w:bookmarkEnd w:id="32"/>
    <w:sectPr w:rsidR="00FC693F" w:rsidRPr="0006063C" w:rsidSect="00034616">
      <w:headerReference r:id="rId9" w:type="default"/>
      <w:footerReference r:id="rId10" w:type="default"/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ayout w:type="fixed"/>
      <w:tblLook w:firstColumn="1" w:firstRow="1" w:lastColumn="0" w:lastRow="0" w:noHBand="0" w:noVBand="1" w:val="04A0"/>
    </w:tblPr>
    <w:tblGrid>
      <w:gridCol w:w="4535"/>
      <w:gridCol w:w="4535"/>
    </w:tblGrid>
    <w:tr>
      <w:tc>
        <w:tcPr>
          <w:tcW w:type="dxa" w:w="4535"/>
        </w:tcPr>
        <w:p>
          <w:pPr>
            <w:jc w:val="left"/>
          </w:pPr>
          <w:r>
            <w:drawing>
              <wp:inline xmlns:a="http://schemas.openxmlformats.org/drawingml/2006/main" xmlns:pic="http://schemas.openxmlformats.org/drawingml/2006/picture">
                <wp:extent cx="1260000" cy="1260000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sap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60000" cy="126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535"/>
        </w:tcPr>
        <w:p>
          <w:pPr>
            <w:jc w:val="right"/>
          </w:pPr>
          <w:r>
            <w:drawing>
              <wp:inline xmlns:a="http://schemas.openxmlformats.org/drawingml/2006/main" xmlns:pic="http://schemas.openxmlformats.org/drawingml/2006/picture">
                <wp:extent cx="1620000" cy="1620000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motiveminds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620000" cy="1620000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2026-01-06T07:35:30Z</dcterms:created>
  <dcterms:modified xsi:type="dcterms:W3CDTF">2026-01-06T07:35:30Z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