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```markdown</w:t>
      </w:r>
      <w:r>
        <w:t xml:space="preserve"> </w:t>
      </w:r>
      <w:r>
        <w:t xml:space="preserve"># Consolidated Technical Report for SAP CPI iFlow: currency</w:t>
      </w:r>
    </w:p>
    <w:bookmarkStart w:id="20" w:name="high-level-architecture"/>
    <w:p>
      <w:pPr>
        <w:pStyle w:val="Heading2"/>
      </w:pPr>
      <w:r>
        <w:t xml:space="preserve">1. High-level architecture</w:t>
      </w:r>
    </w:p>
    <w:p>
      <w:pPr>
        <w:pStyle w:val="FirstParagraph"/>
      </w:pPr>
      <w:r>
        <w:t xml:space="preserve">&lt;The high-level architecture of this system is defined by sender/receiver communication through an iFlow message adapter (I-MNA). Messages are passed from the sender to the receiver, where they are processed and converted into the desired currency format using internal logic.&gt;</w:t>
      </w:r>
    </w:p>
    <w:bookmarkEnd w:id="20"/>
    <w:bookmarkStart w:id="21" w:name="purpose-of-this-iflow"/>
    <w:p>
      <w:pPr>
        <w:pStyle w:val="Heading2"/>
      </w:pPr>
      <w:r>
        <w:t xml:space="preserve">2. Purpose of this iFlow</w:t>
      </w:r>
    </w:p>
    <w:p>
      <w:pPr>
        <w:pStyle w:val="FirstParagraph"/>
      </w:pPr>
      <w:r>
        <w:t xml:space="preserve">&lt;This iFlow is designed to process currency data, handle conversions between different currencies, and ensure accurate financial reporting in a SAP system. Its purpose is to integrate with other systems and provide seamless operations for currency-related activities.&gt;</w:t>
      </w:r>
    </w:p>
    <w:bookmarkEnd w:id="21"/>
    <w:bookmarkStart w:id="22" w:name="senderreceiver-systems"/>
    <w:p>
      <w:pPr>
        <w:pStyle w:val="Heading2"/>
      </w:pPr>
      <w:r>
        <w:t xml:space="preserve">3. Sender/Receiver systems</w:t>
      </w:r>
    </w:p>
    <w:p>
      <w:pPr>
        <w:pStyle w:val="FirstParagraph"/>
      </w:pPr>
      <w:r>
        <w:t xml:space="preserve">Sender Systems: [Sender ID]</w:t>
      </w:r>
      <w:r>
        <w:br/>
      </w:r>
      <w:r>
        <w:t xml:space="preserve">Receiver Systems: [Receiver ID]</w:t>
      </w:r>
    </w:p>
    <w:bookmarkEnd w:id="22"/>
    <w:bookmarkStart w:id="23" w:name="adapter-types-used"/>
    <w:p>
      <w:pPr>
        <w:pStyle w:val="Heading2"/>
      </w:pPr>
      <w:r>
        <w:t xml:space="preserve">4. Adapter types used</w:t>
      </w:r>
    </w:p>
    <w:p>
      <w:pPr>
        <w:pStyle w:val="FirstParagraph"/>
      </w:pPr>
      <w:r>
        <w:t xml:space="preserve">[]</w:t>
      </w:r>
    </w:p>
    <w:bookmarkEnd w:id="23"/>
    <w:bookmarkStart w:id="24" w:name="step-by-step-flow-explanation"/>
    <w:p>
      <w:pPr>
        <w:pStyle w:val="Heading2"/>
      </w:pPr>
      <w:r>
        <w:t xml:space="preserve">5. Step-by-step flow explanation</w:t>
      </w:r>
    </w:p>
    <w:p>
      <w:pPr>
        <w:pStyle w:val="FirstParagraph"/>
      </w:pPr>
      <w:r>
        <w:t xml:space="preserve">&lt;1. In the sender system, messages are created and directed to an iFlow message adapter (I-MNA).</w:t>
      </w:r>
      <w:r>
        <w:br/>
      </w:r>
      <w:r>
        <w:t xml:space="preserve">2. The I-MNA processes the incoming data and prepares it for transmission to the receiver system.</w:t>
      </w:r>
      <w:r>
        <w:br/>
      </w:r>
      <w:r>
        <w:t xml:space="preserve">3. The receiver system receives the processed data, validates it, and converts it into the desired currency format.</w:t>
      </w:r>
      <w:r>
        <w:br/>
      </w:r>
      <w:r>
        <w:t xml:space="preserve">4. Finally, the converted data is sent back to the sender system or directly integrated into the reporting process.&lt;/&gt;</w:t>
      </w:r>
    </w:p>
    <w:bookmarkEnd w:id="24"/>
    <w:bookmarkStart w:id="25" w:name="mapping-logic-summary"/>
    <w:p>
      <w:pPr>
        <w:pStyle w:val="Heading2"/>
      </w:pPr>
      <w:r>
        <w:t xml:space="preserve">6. Mapping logic summary</w:t>
      </w:r>
    </w:p>
    <w:p>
      <w:pPr>
        <w:pStyle w:val="FirstParagraph"/>
      </w:pPr>
      <w:r>
        <w:t xml:space="preserve">[XSLT/Message mapping]</w:t>
      </w:r>
    </w:p>
    <w:bookmarkEnd w:id="25"/>
    <w:bookmarkStart w:id="26" w:name="groovy-script-explanations"/>
    <w:p>
      <w:pPr>
        <w:pStyle w:val="Heading2"/>
      </w:pPr>
      <w:r>
        <w:t xml:space="preserve">7. Groovy script explanations</w:t>
      </w:r>
    </w:p>
    <w:p>
      <w:pPr>
        <w:pStyle w:val="FirstParagraph"/>
      </w:pPr>
      <w:r>
        <w:t xml:space="preserve">Script 1: [Purpose], responsible for validating currency inputs during message processing.</w:t>
      </w:r>
      <w:r>
        <w:br/>
      </w:r>
      <w:r>
        <w:t xml:space="preserve">Script 2: [Purpose], used for converting between different currencies in the receiver system.</w:t>
      </w:r>
      <w:r>
        <w:br/>
      </w:r>
      <w:r>
        <w:t xml:space="preserve">&lt;/&gt;</w:t>
      </w:r>
    </w:p>
    <w:bookmarkEnd w:id="26"/>
    <w:bookmarkStart w:id="27" w:name="error-handling"/>
    <w:p>
      <w:pPr>
        <w:pStyle w:val="Heading2"/>
      </w:pPr>
      <w:r>
        <w:t xml:space="preserve">8. Error handling</w:t>
      </w:r>
    </w:p>
    <w:p>
      <w:pPr>
        <w:pStyle w:val="FirstParagraph"/>
      </w:pPr>
      <w:r>
        <w:t xml:space="preserve">&lt;[] No errors reported yet; error prevention strategies include thorough data validation and logging to ensure accuracy in currency conversions.&gt;</w:t>
      </w:r>
    </w:p>
    <w:bookmarkEnd w:id="27"/>
    <w:bookmarkStart w:id="28" w:name="high-level-process-flow-diagram"/>
    <w:p>
      <w:pPr>
        <w:pStyle w:val="Heading2"/>
      </w:pPr>
      <w:r>
        <w:t xml:space="preserve">9. High-Level Process Flow Diagram</w:t>
      </w:r>
    </w:p>
    <w:p>
      <w:pPr>
        <w:pStyle w:val="FirstParagraph"/>
      </w:pPr>
      <w:r>
        <w:t xml:space="preserve">SenderSystem</w:t>
      </w:r>
      <w:r>
        <w:br/>
      </w:r>
      <w:r>
        <w:t xml:space="preserve">|Request|</w:t>
      </w:r>
      <w:r>
        <w:br/>
      </w:r>
      <w:r>
        <w:t xml:space="preserve">CPI</w:t>
      </w:r>
      <w:r>
        <w:br/>
      </w:r>
      <w:r>
        <w:t xml:space="preserve">|Processed Output| ReceiverSystem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2025-12-10T07:28:57Z</dcterms:created>
  <dcterms:modified xsi:type="dcterms:W3CDTF">2025-12-10T07:28:57Z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