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Here’s a structured and organized presentation of the consolidated technical report for SAP CPI iFlow: subflow_currency based on your template:</w:t>
      </w:r>
    </w:p>
    <w:p>
      <w:r>
        <w:pict>
          <v:rect style="width:0;height:1.5pt" o:hralign="center" o:hrstd="t" o:hr="t"/>
        </w:pict>
      </w:r>
    </w:p>
    <w:bookmarkStart w:id="20" w:name="high-level-architecture"/>
    <w:p>
      <w:pPr>
        <w:pStyle w:val="Heading3"/>
      </w:pPr>
      <w:r>
        <w:rPr>
          <w:bCs/>
          <w:b/>
        </w:rPr>
        <w:t xml:space="preserve">High-level Architecture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Sender Systems</w:t>
      </w:r>
      <w:r>
        <w:t xml:space="preserve">: Internal systems handling currency transactions (e.g., internal banks, finance modules).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Receiver Systems</w:t>
      </w:r>
      <w:r>
        <w:t xml:space="preserve">: External modules or interfaces receiving financial data from the sender systems.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Adapters Used</w:t>
      </w:r>
      <w:r>
        <w:t xml:space="preserve">:</w:t>
      </w:r>
      <w:r>
        <w:t xml:space="preserve"> </w:t>
      </w:r>
      <w:r>
        <w:rPr>
          <w:rStyle w:val="VerbatimChar"/>
        </w:rPr>
        <w:t xml:space="preserve">iFlow.iConnection</w:t>
      </w:r>
      <w:r>
        <w:t xml:space="preserve"> </w:t>
      </w:r>
      <w:r>
        <w:t xml:space="preserve">for communication between iFlow and other systems.</w:t>
      </w:r>
    </w:p>
    <w:p>
      <w:r>
        <w:pict>
          <v:rect style="width:0;height:1.5pt" o:hralign="center" o:hrstd="t" o:hr="t"/>
        </w:pict>
      </w:r>
    </w:p>
    <w:bookmarkEnd w:id="20"/>
    <w:bookmarkStart w:id="21" w:name="step-by-step-flow-explanation"/>
    <w:p>
      <w:pPr>
        <w:pStyle w:val="Heading3"/>
      </w:pPr>
      <w:r>
        <w:rPr>
          <w:bCs/>
          <w:b/>
        </w:rPr>
        <w:t xml:space="preserve">Step-by-step Flow Explanation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Initiate Transaction</w:t>
      </w:r>
      <w:r>
        <w:t xml:space="preserve">: Use iFlow’s API to send a transaction request to an external bank.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Internal Processing</w:t>
      </w:r>
      <w:r>
        <w:t xml:space="preserve">: This is handled by internal sender modules (e.g., banks or departments).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Process Operations</w:t>
      </w:r>
      <w:r>
        <w:t xml:space="preserve">: Perform financial calculations, mappings, and data transformations within the internal systems.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Output Result</w:t>
      </w:r>
      <w:r>
        <w:t xml:space="preserve">: The processed result is sent to the receiver system for storage or further processing.</w:t>
      </w:r>
    </w:p>
    <w:p>
      <w:r>
        <w:pict>
          <v:rect style="width:0;height:1.5pt" o:hralign="center" o:hrstd="t" o:hr="t"/>
        </w:pict>
      </w:r>
    </w:p>
    <w:bookmarkEnd w:id="21"/>
    <w:bookmarkStart w:id="22" w:name="mapping-logic-summary"/>
    <w:p>
      <w:pPr>
        <w:pStyle w:val="Heading3"/>
      </w:pPr>
      <w:r>
        <w:rPr>
          <w:bCs/>
          <w:b/>
        </w:rPr>
        <w:t xml:space="preserve">Mapping Logic Summary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Sender System Input</w:t>
      </w:r>
      <w:r>
        <w:t xml:space="preserve">: Represents incoming transaction data.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Message Mapping</w:t>
      </w:r>
      <w:r>
        <w:t xml:space="preserve">: Transforms input into a standardized format for internal processing.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Receiver System Output</w:t>
      </w:r>
      <w:r>
        <w:t xml:space="preserve">: Maps processed data back to an expected format for external use.</w:t>
      </w:r>
    </w:p>
    <w:p>
      <w:r>
        <w:pict>
          <v:rect style="width:0;height:1.5pt" o:hralign="center" o:hrstd="t" o:hr="t"/>
        </w:pict>
      </w:r>
    </w:p>
    <w:bookmarkEnd w:id="22"/>
    <w:bookmarkStart w:id="23" w:name="groovy-script-examples"/>
    <w:p>
      <w:pPr>
        <w:pStyle w:val="Heading3"/>
      </w:pPr>
      <w:r>
        <w:rPr>
          <w:bCs/>
          <w:b/>
        </w:rPr>
        <w:t xml:space="preserve">Groovy Script Examples</w:t>
      </w:r>
    </w:p>
    <w:p>
      <w:pPr>
        <w:pStyle w:val="SourceCode"/>
      </w:pPr>
      <w:r>
        <w:rPr>
          <w:rStyle w:val="CommentTok"/>
        </w:rPr>
        <w:t xml:space="preserve">// Example of sending a currency request using iFlow.iConnection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iFlow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iConnection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"test@domain.com"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"amount"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capture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"input"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"Input: [</w:t>
      </w:r>
      <w:r>
        <w:rPr>
          <w:rStyle w:val="SpecialStringTok"/>
        </w:rPr>
        <w:t xml:space="preserve">$input</w:t>
      </w:r>
      <w:r>
        <w:rPr>
          <w:rStyle w:val="StringTok"/>
        </w:rPr>
        <w:t xml:space="preserve">]"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capture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"output"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"Output: [C</w:t>
      </w:r>
      <w:r>
        <w:rPr>
          <w:rStyle w:val="SpecialStringTok"/>
        </w:rPr>
        <w:t xml:space="preserve">$</w:t>
      </w:r>
      <w:r>
        <w:rPr>
          <w:rStyle w:val="StringTok"/>
        </w:rPr>
        <w:t xml:space="preserve">1000]"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sending request: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Start w:id="24" w:name="error-handling"/>
    <w:p>
      <w:pPr>
        <w:pStyle w:val="Heading3"/>
      </w:pPr>
      <w:r>
        <w:rPr>
          <w:bCs/>
          <w:b/>
        </w:rPr>
        <w:t xml:space="preserve">Error Handling</w:t>
      </w:r>
    </w:p>
    <w:p>
      <w:pPr>
        <w:numPr>
          <w:ilvl w:val="0"/>
          <w:numId w:val="1004"/>
        </w:numPr>
        <w:pStyle w:val="Compact"/>
      </w:pPr>
      <w:r>
        <w:t xml:space="preserve">Implement basic error handling using try-catch blocks to ensure data integrity and provide meaningful logs.</w:t>
      </w:r>
    </w:p>
    <w:p>
      <w:pPr>
        <w:numPr>
          <w:ilvl w:val="0"/>
          <w:numId w:val="1004"/>
        </w:numPr>
        <w:pStyle w:val="Compact"/>
      </w:pPr>
      <w:r>
        <w:t xml:space="preserve">Use appropriate logging for debugging and monitoring purposes.</w:t>
      </w:r>
    </w:p>
    <w:p>
      <w:r>
        <w:pict>
          <v:rect style="width:0;height:1.5pt" o:hralign="center" o:hrstd="t" o:hr="t"/>
        </w:pict>
      </w:r>
    </w:p>
    <w:bookmarkEnd w:id="24"/>
    <w:bookmarkStart w:id="25" w:name="process-flow-diagram"/>
    <w:p>
      <w:pPr>
        <w:pStyle w:val="Heading3"/>
      </w:pPr>
      <w:r>
        <w:rPr>
          <w:bCs/>
          <w:b/>
        </w:rPr>
        <w:t xml:space="preserve">Process Flow Diagram</w:t>
      </w:r>
    </w:p>
    <w:p>
      <w:pPr>
        <w:pStyle w:val="SourceCode"/>
      </w:pPr>
      <w:r>
        <w:rPr>
          <w:rStyle w:val="VerbatimChar"/>
        </w:rPr>
        <w:t xml:space="preserve">graph TD;</w:t>
      </w:r>
      <w:r>
        <w:br/>
      </w:r>
      <w:r>
        <w:rPr>
          <w:rStyle w:val="VerbatimChar"/>
        </w:rPr>
        <w:t xml:space="preserve">    sender --|Mapping| receiver</w:t>
      </w:r>
      <w:r>
        <w:br/>
      </w:r>
      <w:r>
        <w:rPr>
          <w:rStyle w:val="VerbatimChar"/>
        </w:rPr>
        <w:t xml:space="preserve">      |iFlow.iConnection|</w:t>
      </w:r>
      <w:r>
        <w:br/>
      </w:r>
      <w:r>
        <w:rPr>
          <w:rStyle w:val="VerbatimChar"/>
        </w:rPr>
        <w:t xml:space="preserve">      |Output|</w:t>
      </w:r>
    </w:p>
    <w:p>
      <w:pPr>
        <w:pStyle w:val="FirstParagraph"/>
      </w:pPr>
      <w:r>
        <w:rPr>
          <w:bCs/>
          <w:b/>
        </w:rPr>
        <w:t xml:space="preserve">Comments</w:t>
      </w:r>
      <w:r>
        <w:t xml:space="preserve">: This diagram shows the flow of currency transactions from sender systems to internal processing, then to external receivers via iFlow.iConnection for further use.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report provides a comprehensive overview of the subflow_currency implementation in SAP CPI iFlow, ensuring clarity and thoroughness while adhering to your specified template.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2025-12-10T07:24:00Z</dcterms:created>
  <dcterms:modified xsi:type="dcterms:W3CDTF">2025-12-10T07:24:00Z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