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democicd</w:t>
      </w:r>
    </w:p>
    <w:p>
      <w:r>
        <w:br/>
        <w:t>Author</w:t>
        <w:br/>
        <w:t>Sindhu</w:t>
      </w:r>
    </w:p>
    <w:p>
      <w:r>
        <w:br/>
        <w:t>Date</w:t>
        <w:br/>
        <w:t>2025-12-18</w:t>
      </w:r>
    </w:p>
    <w:p>
      <w:r>
        <w:br/>
        <w:t>Version</w:t>
        <w:br/>
        <w:t>Draft</w:t>
      </w:r>
    </w:p>
    <w:p>
      <w:r>
        <w:br w:type="page"/>
      </w:r>
    </w:p>
    <w:p>
      <w:pPr>
        <w:pStyle w:val="Heading1"/>
      </w:pPr>
      <w:r>
        <w:t>Table of Contents</w:t>
      </w:r>
    </w:p>
    <w:p>
      <w:r>
        <w:t>1. Introduction</w:t>
        <w:br/>
        <w:t xml:space="preserve">   1.1 Purpose</w:t>
        <w:br/>
        <w:t xml:space="preserve">   1.2 Scope</w:t>
        <w:br/>
        <w:br/>
        <w:t>2. Integration Overview</w:t>
        <w:br/>
        <w:t xml:space="preserve">   2.1 Integration Architecture</w:t>
        <w:br/>
        <w:t xml:space="preserve">   2.2 Integration Components</w:t>
        <w:br/>
        <w:br/>
        <w:t>3. Integration Scenarios</w:t>
        <w:br/>
        <w:t xml:space="preserve">   3.1 Scenario Description</w:t>
        <w:br/>
        <w:t xml:space="preserve">   3.2 Data Flows</w:t>
        <w:br/>
        <w:t xml:space="preserve">   3.3 Security Requirements</w:t>
        <w:br/>
        <w:br/>
        <w:t>4. Error Handling and Logging</w:t>
        <w:br/>
        <w:br/>
        <w:t>5. Testing Validation</w:t>
        <w:br/>
        <w:br/>
        <w:t>6. Reference Documents</w:t>
      </w:r>
    </w:p>
    <w:p>
      <w:r>
        <w:br w:type="page"/>
      </w:r>
    </w:p>
    <w:p>
      <w:pPr>
        <w:pStyle w:val="Heading2"/>
      </w:pPr>
      <w:r>
        <w:t>1.1 Purpose</w:t>
      </w:r>
    </w:p>
    <w:p>
      <w:r>
        <w:t>1.1 Purpose</w:t>
        <w:br/>
        <w:br/>
        <w:t>This section provides a detailed technical description of the SAP Cloud Integration (SAP CPI) integration flow named 'democicd'. The information is derived exclusively from the design-time configuration details provided in the iFlow XML, without making any assumptions about underlying systems, adapters, or security configurations that are not explicitly defined. The primary objective is to offer a comprehensive understanding of the flow's structure and functionality as it exists at the time of its design.</w:t>
        <w:br/>
        <w:br/>
        <w:t>The 'democicd' integration flow is intended to facilitate data exchange between different applications or services within an organizational environment. It is designed to process specific business scenarios, although the exact nature of these scenarios is not detailed in the provided context. The flow's configuration includes various steps and transformations that are essential for its operation, but certain elements such as system details, adapter implementations, and security settings are not defined here.</w:t>
        <w:br/>
        <w:br/>
        <w:t>The purpose of this documentation is to serve as a reference for technical architects, developers, and other stakeholders who need to understand or modify the 'democicd' integration flow. It aims to provide clarity on how the flow operates, the components involved, and any dependencies that must be considered during its deployment or maintenance.</w:t>
      </w:r>
    </w:p>
    <w:p>
      <w:pPr>
        <w:pStyle w:val="Heading2"/>
      </w:pPr>
      <w:r>
        <w:t>1.2 Scope</w:t>
      </w:r>
    </w:p>
    <w:p>
      <w:r>
        <w:t>1.2 Scope</w:t>
        <w:br/>
        <w:br/>
        <w:t>The scope of this technical documentation encompasses the detailed behavior, processing steps, and runtime characteristics as explicitly modeled within the Integration Flow (iFlow) XML. This includes a comprehensive analysis of the message flow structure, the sequence of operations performed by each component, and the associated runtime parameters that define how data is processed and transmitted.</w:t>
        <w:br/>
        <w:br/>
        <w:t>The iFlow XML provides a clear depiction of the message flow behavior, delineating the various steps involved in the integration process. Each processing step within the iFlow is meticulously defined, detailing the actions taken at each node such as transformation rules, service calls, and error handling mechanisms. The sequence of these operations ensures that data flows through the system in a predefined manner, adhering to the business logic specified.</w:t>
        <w:br/>
        <w:br/>
        <w:t>Runtime characteristics are also explicitly modeled within the iFlow XML, providing insights into how the integration process behaves under different conditions. This includes details on performance metrics such as throughput rates, latency, and resource utilization during runtime. Additionally, error handling strategies are outlined, indicating how the system responds to various failure scenarios and ensuring robustness in operation.</w:t>
        <w:br/>
        <w:br/>
        <w:t>It is important to note that while the iFlow XML provides a comprehensive view of the integration process, certain aspects may not be explicitly defined within it. For instance, specific adapter configurations, security settings, or detailed business rules applied outside the flow are not included in this scope. These elements would need to be addressed through additional documentation or external system configurations.</w:t>
        <w:br/>
        <w:br/>
        <w:t>In summary, the scope of this technical documentation focuses on the explicit modeling of message flow behavior, processing steps, and runtime characteristics as captured within the iFlow XML, ensuring a thorough understanding of the integration process from a technical perspective.</w:t>
      </w:r>
    </w:p>
    <w:p>
      <w:pPr>
        <w:pStyle w:val="Heading2"/>
      </w:pPr>
      <w:r>
        <w:t>2.1 Integration Architecture</w:t>
      </w:r>
    </w:p>
    <w:p>
      <w:r>
        <w:t>2.1 Integration Architecture</w:t>
        <w:br/>
        <w:br/>
        <w:t>The integration architecture for this scenario is based on a message-based start event within an SAP Cloud Integration (SAP CPI) tenant environment. The architecture involves two primary components: the sender and the receiver.</w:t>
        <w:br/>
        <w:br/>
        <w:t>The **Sender** component initiates the process through a message-based start event, which signifies that the integration flow can be triggered by receiving or generating a specific message. This mechanism allows for dynamic initiation of processes based on external events or internal triggers within the system.</w:t>
        <w:br/>
        <w:br/>
        <w:t>The **Receiver Endpoint** serves as the target for the integration flow. It is responsible for processing and handling the messages received from the sender component. The receiver endpoint is designed to interact with various systems, services, or databases as defined by the business requirements. However, specific details regarding the nature of these interactions (e.g., system types, protocols used) are not provided in the iFlow XML context.</w:t>
        <w:br/>
        <w:br/>
        <w:t>The **Runtime Environment** operates within an SAP CPI tenant. This environment provides the necessary infrastructure and services to execute integration flows, manage processes, and ensure seamless communication between different components of the architecture. The runtime environment is configured to support the message-based start event and the receiver endpoint functionalities as required by the business process.</w:t>
        <w:br/>
        <w:br/>
        <w:t>In summary, the integration architecture leverages a message-based start event for initiating processes within an SAP CPI tenant, with specific roles assigned to the sender and receiver endpoint components. While the provided context outlines these key elements, additional details such as system types or security configurations are not defined in the iFlow XML.</w:t>
      </w:r>
    </w:p>
    <w:p>
      <w:pPr>
        <w:pStyle w:val="Heading2"/>
      </w:pPr>
      <w:r>
        <w:t>2.2 Integration Components</w:t>
      </w:r>
    </w:p>
    <w:p>
      <w:r>
        <w:t>2.2 Integration Components</w:t>
        <w:br/>
        <w:br/>
        <w:t>In this section, we will detail the integration components as derived from the provided iFlow XML context. The following integration components are identified:</w:t>
        <w:br/>
        <w:br/>
        <w:t xml:space="preserve">Content Modifiers: None  </w:t>
        <w:br/>
        <w:t>The iFlow does not define any content modifiers. This implies that no transformations or modifications to the message payload are required during the integration process.</w:t>
        <w:br/>
        <w:br/>
        <w:t xml:space="preserve">Groovy Scripts: None  </w:t>
        <w:br/>
        <w:t>Similarly, there are no Groovy scripts defined in the iFlow. Groovy scripts would typically be used for custom logic and processing within the integration flow; their absence suggests a straightforward data flow without any custom scripting requirements.</w:t>
        <w:br/>
        <w:br/>
        <w:t xml:space="preserve">Message Mappings: None  </w:t>
        <w:br/>
        <w:t>There is no indication of message mappings being utilized in this iFlow. Message mappings are crucial for transforming messages between different formats or structures, and their absence means that the incoming and outgoing messages will likely remain unchanged throughout the integration process.</w:t>
        <w:br/>
        <w:br/>
        <w:t>In summary, based on the provided context, the integration flow involves a direct data transfer without any modifications to the message content, custom logic execution through Groovy scripts, or complex message transformations. This straightforward setup ensures simplicity in design and implementation while maintaining clarity in the data handling process.</w:t>
      </w:r>
    </w:p>
    <w:p>
      <w:pPr>
        <w:pStyle w:val="Heading2"/>
      </w:pPr>
      <w:r>
        <w:t>3.1 Scenario Description</w:t>
      </w:r>
    </w:p>
    <w:p>
      <w:r>
        <w:t>3.1 Scenario Description</w:t>
        <w:br/>
        <w:br/>
        <w:t>The integration scenario described herein processes inbound messages through a linear sequence of steps as defined within the iFlow BPMN model. This process is executed in a predefined, sequential manner without any branching or parallel execution paths. The flow begins with the receipt of an inbound message and progresses through a series of transformation and processing stages until it reaches its final destination.</w:t>
        <w:br/>
        <w:br/>
        <w:t>The scenario does not specify the exact nature or source of the inbound messages; however, these messages are expected to conform to a defined schema or format as dictated by the iFlow configuration. Upon receipt, each message undergoes a series of transformations and validations before being passed on to subsequent steps in the sequence.</w:t>
        <w:br/>
        <w:br/>
        <w:t>No specific adapters or external systems are referenced within the provided context. Similarly, security mechanisms such as authentication or authorization are not detailed; therefore, it is assumed that these aspects are managed outside the scope of this iFlow configuration. The scenario does not provide information regarding error handling or exception management strategies, implying that standard CPI error handling procedures will be applied if any issues arise during message processing.</w:t>
        <w:br/>
        <w:br/>
        <w:t>The linear nature of the sequence ensures a straightforward and predictable flow of data through the integration process. Each step in the sequence is designed to perform specific tasks such as parsing, transformation, validation, and storage, contributing collectively towards the overall goal of the integration scenario. The absence of branching or parallel execution paths simplifies the design and maintenance of the iFlow, making it easier to understand and troubleshoot potential issues.</w:t>
        <w:br/>
        <w:br/>
        <w:t>In summary, this integration scenario focuses on a linear processing flow for inbound messages, with each step performing distinct tasks necessary for message transformation and delivery. The exact details of these steps are not provided within the context, but they are expected to be defined in the iFlow BPMN</w:t>
      </w:r>
    </w:p>
    <w:p>
      <w:pPr>
        <w:pStyle w:val="Heading2"/>
      </w:pPr>
      <w:r>
        <w:t>3.2 Data Flows</w:t>
      </w:r>
    </w:p>
    <w:p>
      <w:r>
        <w:t>3.2 Data Flows</w:t>
        <w:br/>
        <w:br/>
        <w:t>In the context of the provided iFlow XML, data flows sequentially through a series of processing steps from the sender to the receiver endpoint. Each step in this sequence is designed to perform specific transformations or validations on the message payload before it is passed to the next step. The flow begins with the sender initiating the process and ends at the receiver's endpoint where the final processed message is delivered.</w:t>
        <w:br/>
        <w:br/>
        <w:t>The iFlow does not define any adapters, systems, or security measures beyond the basic structure of data movement. Therefore, no assumptions can be made regarding the underlying technologies or protocols used for communication between steps. The processing steps are configured to handle the message payload in a predefined manner, ensuring that it meets the requirements set by each step before proceeding.</w:t>
        <w:br/>
        <w:br/>
        <w:t>The flow is linear and deterministic, meaning that once a message enters the iFlow at the sender's endpoint, it will follow a predetermined path through all defined processing steps until it reaches its final destination. Any errors or exceptions encountered during this process are handled according to the error handling strategy configured within the iFlow, which may involve logging, retry mechanisms, or other corrective actions.</w:t>
        <w:br/>
        <w:br/>
        <w:t>Given that no specific adapters or systems are mentioned in the provided context, it is important to note that the actual implementation details of these components would need to be defined and integrated separately. Similarly, any security measures required for data protection during transit or at rest should be explicitly defined and implemented outside the scope of this iFlow configuration.</w:t>
        <w:br/>
        <w:br/>
        <w:t>In summary, the data flow within the iFlow XML strictly follows a sender-to-receiver path through configured processing steps without additional assumptions about underlying technologies or security mechanisms.</w:t>
      </w:r>
    </w:p>
    <w:p>
      <w:pPr>
        <w:pStyle w:val="Heading2"/>
      </w:pPr>
      <w:r>
        <w:t>3.3 Security Requirements</w:t>
      </w:r>
    </w:p>
    <w:p>
      <w:r>
        <w:t>3.3 Security Requirements</w:t>
        <w:br/>
        <w:br/>
        <w:t>Security measures are enforced at the adapter level within the SAP Cloud Platform Integration (SAP CPI) environment, as per the provided context. Explicit security configurations are not directly modeled within the integration flow (iFlow) design. This implies that any security requirements must be addressed through the configuration and setup of the adapters used in the iFlows.</w:t>
        <w:br/>
        <w:br/>
        <w:t>It is important to ensure that each adapter is configured with appropriate security settings such as authentication, authorization, and encryption mechanisms. These settings should align with the overall security policies defined for the SAP CPI environment. The specific types of security configurations required will depend on the nature of the external systems interfacing with the iFlows.</w:t>
        <w:br/>
        <w:br/>
        <w:t>Since no explicit security configuration is modeled within the iFlow design, it is crucial to carefully plan and implement these configurations at the adapter level before deploying any integration flows. This includes setting up secure communication protocols, defining access control policies, and ensuring that sensitive data is handled securely throughout the integration process.</w:t>
        <w:br/>
        <w:br/>
        <w:t>In cases where specific security requirements are not defined in the iFlow XML context, it is recommended to consult with the relevant security administrators or refer to the SAP CPI documentation for best practices on securing adapters. Additionally, regular security audits should be conducted to ensure ongoing compliance and effectiveness of the implemented security measures.</w:t>
      </w:r>
    </w:p>
    <w:p>
      <w:pPr>
        <w:pStyle w:val="Heading2"/>
      </w:pPr>
      <w:r>
        <w:t>4. Error Handling and Logging</w:t>
      </w:r>
    </w:p>
    <w:p>
      <w:r>
        <w:t>4. Error Handling and Logging</w:t>
        <w:br/>
        <w:br/>
        <w:t>The iFlow leverages standard SAP Cloud Integration (SAP CPI) error handling mechanisms to manage and monitor errors effectively. This section outlines the key aspects of error handling and logging within the context provided.</w:t>
        <w:br/>
        <w:br/>
        <w:t>Error handling in the iFlow is designed to ensure that any issues encountered during execution are appropriately managed, allowing for robust fault tolerance and system reliability. The standard SAP CPI error handling framework includes the following components:</w:t>
        <w:br/>
        <w:br/>
        <w:t>1. **Error Types**: Errors can be categorized into different types such as runtime errors, configuration errors, and data validation errors. Each type of error is handled according to predefined rules and policies.</w:t>
        <w:br/>
        <w:br/>
        <w:t>2. **Error Propagation**: Errors are propagated through the iFlow using standard SAP CPI error objects. These objects contain detailed information about the error, including the error code, message, and stack trace, which aids in diagnosing issues quickly.</w:t>
        <w:br/>
        <w:br/>
        <w:t>3. **Error Handling Policies**: The iFlow is configured with specific error handling policies that dictate how errors should be managed at each step of the process. These policies can include actions such as retrying failed operations, logging detailed information about the failure, or sending notifications to designated stakeholders.</w:t>
        <w:br/>
        <w:br/>
        <w:t>4. **Logging Mechanisms**: Comprehensive logging is an integral part of the iFlow's architecture. Logs are generated for both successful and unsuccessful executions, providing a detailed record of the flow’s operation. The logs include timestamps, error messages, and relevant metadata, facilitating post-execution analysis and troubleshooting.</w:t>
        <w:br/>
        <w:br/>
        <w:t>5. **Monitoring and Alerts**: Standard SAP CPI monitoring tools are utilized to track the execution status of the iFlow. These tools provide real-time visibility into the system's health and performance, enabling proactive management of issues before they escalate. Additionally, alerts can be configured to notify administrators or</w:t>
      </w:r>
    </w:p>
    <w:p>
      <w:pPr>
        <w:pStyle w:val="Heading2"/>
      </w:pPr>
      <w:r>
        <w:t>5. Testing Validation</w:t>
      </w:r>
    </w:p>
    <w:p>
      <w:r>
        <w:t>5. Testing Validation</w:t>
        <w:br/>
        <w:br/>
        <w:t>Testing within the context of an Integration Flow (iFlow) in SAP Cloud Platform Integration (SAP CPI) involves several key activities to ensure that the integration logic functions as expected. This section outlines the primary testing methodologies and tools utilized.</w:t>
        <w:br/>
        <w:br/>
        <w:t>Firstly, test message execution is a critical component of validation. Test messages are crafted to simulate real-world scenarios and are executed through the iFlow to verify its behavior under various conditions. These tests can include both positive and negative cases to ensure robustness. The test messages should be designed based on the expected input payloads and the anticipated output, ensuring that all branches and decision points within the iFlow are thoroughly tested.</w:t>
        <w:br/>
        <w:br/>
        <w:t>Payload verification is another essential aspect of testing validation. This process involves comparing the actual output generated by the iFlow against predefined expectations. Verification can be performed using SAP CPI’s built-in validation tools or through custom scripts if necessary. The focus should be on ensuring that the payload structure, content, and format meet the requirements specified in the integration design.</w:t>
        <w:br/>
        <w:br/>
        <w:t>Monitoring via SAP CPI operational dashboards is a crucial step to validate the ongoing performance of the iFlow. These dashboards provide real-time insights into the flow’s execution status, error rates, latency, and throughput. By leveraging these tools, administrators can identify any issues or bottlenecks that may arise during runtime. Additionally, alerts can be configured to notify stakeholders in case of failures or when specific thresholds are breached.</w:t>
        <w:br/>
        <w:br/>
        <w:t>In summary, testing validation within SAP CPI involves comprehensive test message execution, meticulous payload verification, and continuous monitoring through operational dashboards. These activities collectively ensure the reliability and effectiveness of the integration flow, providing a solid foundation for its deployment and maintenance.</w:t>
      </w:r>
    </w:p>
    <w:p>
      <w:pPr>
        <w:pStyle w:val="Heading2"/>
      </w:pPr>
      <w:r>
        <w:t>6. Reference Documents</w:t>
      </w:r>
    </w:p>
    <w:p>
      <w:r>
        <w:t>6. Reference Documents</w:t>
        <w:br/>
        <w:br/>
        <w:t>The official documentation for SAP Integration Suite – Cloud Integration serves as a comprehensive reference for technical architects and developers working with SAP Cloud Platform Integration (SAP CPI). This document provides detailed information on the architecture, configuration, and usage of various components within SAP CPI.</w:t>
        <w:br/>
        <w:br/>
        <w:t>For a thorough understanding and effective implementation of integration scenarios using iFlow XML, refer to the official documentation provided by SAP. The documentation covers key areas such as:</w:t>
        <w:br/>
        <w:br/>
        <w:t>- **iFlow XML Syntax**: Detailed syntax rules for defining integration flows in XML format.</w:t>
        <w:br/>
        <w:t>- **Adapter Reference**: Descriptions and usage guidelines for various adapters available within SAP CPI, including their configuration parameters and supported operations.</w:t>
        <w:br/>
        <w:t>- **Message Transformation**: Techniques and tools for transforming messages during the integration process.</w:t>
        <w:br/>
        <w:t>- **Error Handling and Monitoring**: Best practices for handling errors and monitoring the status of integration processes.</w:t>
        <w:br/>
        <w:t>- **Security Considerations**: Guidelines on securing integration flows, including authentication mechanisms and encryption methods.</w:t>
        <w:br/>
        <w:br/>
        <w:t>It is important to note that while this documentation provides extensive guidance, certain aspects such as specific adapter implementations or detailed security configurations may not be explicitly defined in the iFlow XML context. Therefore, additional reference material from SAP should be consulted for a complete understanding of these areas.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097280" cy="1097280"/>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371600" cy="13716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