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a structured table based on your query: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 Name</w:t>
            </w:r>
            <w:r>
              <w:t xml:space="preserve">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currency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1. Introduction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## 1.1 Purpose</w:t>
      </w:r>
      <w:r>
        <w:br/>
      </w:r>
      <w:r>
        <w:t xml:space="preserve">&gt; The purpose of this integration flow is to implement a currency conversion process using the provided sender and receiver systems.</w:t>
      </w:r>
    </w:p>
    <w:p>
      <w:pPr>
        <w:pStyle w:val="BodyText"/>
      </w:pPr>
      <w:r>
        <w:t xml:space="preserve">## 1.2 Scope</w:t>
      </w:r>
      <w:r>
        <w:br/>
      </w:r>
      <w:r>
        <w:t xml:space="preserve">&gt; This scope outlines the functions expected from the integration: converting currencies, validating inputs, ensuring data integrity, and providing accurate results.</w:t>
      </w:r>
    </w:p>
    <w:bookmarkStart w:id="22" w:name="integration-overview"/>
    <w:p>
      <w:pPr>
        <w:pStyle w:val="Heading3"/>
      </w:pPr>
      <w:r>
        <w:t xml:space="preserve">2. Integration Overview</w:t>
      </w:r>
    </w:p>
    <w:bookmarkStart w:id="20" w:name="integration-architecture"/>
    <w:p>
      <w:pPr>
        <w:pStyle w:val="Heading4"/>
      </w:pPr>
      <w:r>
        <w:t xml:space="preserve">2.1 Integration Architecture</w:t>
      </w:r>
    </w:p>
    <w:p>
      <w:pPr>
        <w:pStyle w:val="BlockText"/>
      </w:pPr>
      <w:r>
        <w:t xml:space="preserve">The architecture is a high-level diagram using Mermaid syntax:</w:t>
      </w:r>
      <w:r>
        <w:t xml:space="preserve"> </w:t>
      </w:r>
      <w:r>
        <w:t xml:space="preserve">SenderSystem –&gt;|Request| CPI</w:t>
      </w:r>
      <w:r>
        <w:t xml:space="preserve"> </w:t>
      </w:r>
      <w:r>
        <w:t xml:space="preserve">CPI –&gt;|Processed Output| ReceiverSystem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Sender Systems</w:t>
      </w:r>
      <w:r>
        <w:t xml:space="preserve">: Implements currency conversion logic.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Receiver Systems</w:t>
      </w:r>
      <w:r>
        <w:t xml:space="preserve">: Reads input data and processes it through the sender system.</w:t>
      </w:r>
    </w:p>
    <w:bookmarkEnd w:id="20"/>
    <w:bookmarkStart w:id="21" w:name="integration-components"/>
    <w:p>
      <w:pPr>
        <w:pStyle w:val="Heading4"/>
      </w:pPr>
      <w:r>
        <w:t xml:space="preserve">2.2 Integration Components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Sender Systems</w:t>
      </w:r>
      <w:r>
        <w:t xml:space="preserve">: Uses libraries for currency conversion, with a tool pi involved (e.g., Pim library).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Receiver Systems</w:t>
      </w:r>
      <w:r>
        <w:t xml:space="preserve">: Reads input from files or devices, converting currencies in real-time.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Adapters Used</w:t>
      </w:r>
      <w:r>
        <w:t xml:space="preserve">: Converts raw data into formats compatible with the receiver system.</w:t>
      </w:r>
    </w:p>
    <w:bookmarkEnd w:id="21"/>
    <w:bookmarkEnd w:id="22"/>
    <w:bookmarkStart w:id="25" w:name="integration-scenarios"/>
    <w:p>
      <w:pPr>
        <w:pStyle w:val="Heading3"/>
      </w:pPr>
      <w:r>
        <w:t xml:space="preserve">3. Integration Scenarios</w:t>
      </w:r>
    </w:p>
    <w:bookmarkStart w:id="23" w:name="scenario-description"/>
    <w:p>
      <w:pPr>
        <w:pStyle w:val="Heading4"/>
      </w:pPr>
      <w:r>
        <w:t xml:space="preserve">3.1 Scenario Description</w:t>
      </w:r>
    </w:p>
    <w:p>
      <w:pPr>
        <w:pStyle w:val="BlockText"/>
      </w:pPr>
      <w:r>
        <w:t xml:space="preserve">The currency conversion flow processes USD to EUR data:</w:t>
      </w:r>
      <w:r>
        <w:t xml:space="preserve"> </w:t>
      </w:r>
      <w:r>
        <w:t xml:space="preserve">- Sends USD amounts to a CIPI implementation.</w:t>
      </w:r>
      <w:r>
        <w:t xml:space="preserve"> </w:t>
      </w:r>
      <w:r>
        <w:t xml:space="preserve">- Receives EUR amounts from a CIPD implementation.</w:t>
      </w:r>
      <w:r>
        <w:t xml:space="preserve"> </w:t>
      </w:r>
      <w:r>
        <w:t xml:space="preserve">- Converts USD to EUR using specified rates.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 Flows</w:t>
      </w:r>
      <w:r>
        <w:t xml:space="preserve">: Involves messages with USD and EUR values, transformations converting USD to EUR, and validation checks on input consistency.</w:t>
      </w:r>
    </w:p>
    <w:bookmarkEnd w:id="23"/>
    <w:bookmarkStart w:id="24" w:name="security-requirements"/>
    <w:p>
      <w:pPr>
        <w:pStyle w:val="Heading4"/>
      </w:pPr>
      <w:r>
        <w:t xml:space="preserve">3.2 Security Requirements</w:t>
      </w:r>
    </w:p>
    <w:p>
      <w:pPr>
        <w:pStyle w:val="BlockText"/>
      </w:pPr>
      <w:r>
        <w:t xml:space="preserve">Ensures data integrity and conversion accuracy:</w:t>
      </w:r>
      <w:r>
        <w:t xml:space="preserve"> </w:t>
      </w:r>
      <w:r>
        <w:t xml:space="preserve">- Authenticates inputs from source systems.</w:t>
      </w:r>
      <w:r>
        <w:t xml:space="preserve"> </w:t>
      </w:r>
      <w:r>
        <w:t xml:space="preserve">- Verifies currency conversion parameters (e.g., rate validity).</w:t>
      </w:r>
      <w:r>
        <w:t xml:space="preserve"> </w:t>
      </w:r>
      <w:r>
        <w:t xml:space="preserve">- Logs any discrepancies or errors during conversion.</w:t>
      </w:r>
    </w:p>
    <w:bookmarkEnd w:id="24"/>
    <w:bookmarkEnd w:id="25"/>
    <w:bookmarkStart w:id="26" w:name="error-handling-and-logging"/>
    <w:p>
      <w:pPr>
        <w:pStyle w:val="Heading3"/>
      </w:pPr>
      <w:r>
        <w:t xml:space="preserve">4. Error Handling and Logging</w:t>
      </w:r>
    </w:p>
    <w:p>
      <w:pPr>
        <w:pStyle w:val="BlockText"/>
      </w:pPr>
      <w:r>
        <w:t xml:space="preserve">Logs errors in real-time to CIPI for debugging and CIPD for rollback:</w:t>
      </w:r>
    </w:p>
    <w:p>
      <w:pPr>
        <w:pStyle w:val="FirstParagraph"/>
      </w:pPr>
      <w:r>
        <w:t xml:space="preserve">CIPIDateError: Conversion failed due to invalid input</w:t>
      </w:r>
      <w:r>
        <w:t xml:space="preserve"> </w:t>
      </w:r>
      <w:r>
        <w:t xml:space="preserve">CIPIDateError: Inconsistent currency rates</w:t>
      </w:r>
    </w:p>
    <w:bookmarkEnd w:id="26"/>
    <w:bookmarkStart w:id="27" w:name="testing-validation"/>
    <w:p>
      <w:pPr>
        <w:pStyle w:val="Heading3"/>
      </w:pPr>
      <w:r>
        <w:t xml:space="preserve">5. Testing Validation</w:t>
      </w:r>
    </w:p>
    <w:p>
      <w:pPr>
        <w:pStyle w:val="BlockText"/>
      </w:pPr>
      <w:r>
        <w:t xml:space="preserve">Includes UAT scenarios focusing on</w:t>
      </w:r>
      <w:r>
        <w:t xml:space="preserve"> </w:t>
      </w:r>
      <w:r>
        <w:t xml:space="preserve">“</w:t>
      </w:r>
      <w:r>
        <w:t xml:space="preserve">currency</w:t>
      </w:r>
      <w:r>
        <w:t xml:space="preserve">”</w:t>
      </w:r>
      <w:r>
        <w:t xml:space="preserve">:</w:t>
      </w:r>
    </w:p>
    <w:p>
      <w:pPr>
        <w:pStyle w:val="FirstParagraph"/>
      </w:pPr>
      <w:r>
        <w:t xml:space="preserve">Test Case 1: Valid Currency Exchange (Should Pass)</w:t>
      </w:r>
      <w:r>
        <w:t xml:space="preserve"> </w:t>
      </w:r>
      <w:r>
        <w:t xml:space="preserve">Test Case 2: Invalid Currency Rates (Should Detect Error)</w:t>
      </w:r>
    </w:p>
    <w:bookmarkEnd w:id="27"/>
    <w:bookmarkStart w:id="28" w:name="reference-documents"/>
    <w:p>
      <w:pPr>
        <w:pStyle w:val="Heading3"/>
      </w:pPr>
      <w:r>
        <w:t xml:space="preserve">6. Reference Documents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Mapping Sheet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mappings.json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Documentation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 Details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currency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document for CIPI documentation</w:t>
            </w:r>
          </w:p>
        </w:tc>
      </w:tr>
    </w:tbl>
    <w:p>
      <w:pPr>
        <w:pStyle w:val="BodyText"/>
      </w:pPr>
      <w:r>
        <w:t xml:space="preserve">Note: Ensure that the citation for the mappings sheet is updated with the correct file path.</w:t>
      </w:r>
    </w:p>
    <w:bookmarkEnd w:id="28"/>
    <w:sectPr w:rsidR="00FC693F" w:rsidRPr="0006063C" w:rsidSect="00034616"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drawing>
              <wp:inline xmlns:a="http://schemas.openxmlformats.org/drawingml/2006/main" xmlns:pic="http://schemas.openxmlformats.org/drawingml/2006/picture">
                <wp:extent cx="1371600" cy="71323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71323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71600" cy="77152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7715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2025-12-10T11:28:08Z</dcterms:created>
  <dcterms:modified xsi:type="dcterms:W3CDTF">2025-12-10T11:28:08Z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