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integrationflow</w:t>
      </w:r>
    </w:p>
    <w:p>
      <w:pPr>
        <w:pStyle w:val="BodyText"/>
      </w:pPr>
      <w:r>
        <w:t xml:space="preserve">Technical Specification Document</w:t>
      </w:r>
    </w:p>
    <w:p>
      <w:pPr>
        <w:pStyle w:val="BodyText"/>
      </w:pPr>
    </w:p>
    <w:p>
      <w:pPr>
        <w:pStyle w:val="BodyText"/>
      </w:pPr>
      <w:r>
        <w:t xml:space="preserve">Author</w:t>
      </w:r>
    </w:p>
    <w:p>
      <w:pPr>
        <w:pStyle w:val="BodyText"/>
      </w:pPr>
      <w:r>
        <w:t xml:space="preserve">Sindhu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2026-01-06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1.0.0</w:t>
      </w:r>
    </w:p>
    <w:p>
      <w:pPr>
        <w:pStyle w:val="BodyText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Overview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Scenarios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Error Handling and Logging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Testing Validation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Reference Documents</w:t>
      </w:r>
    </w:p>
    <w:bookmarkStart w:id="22" w:name="introduction"/>
    <w:p>
      <w:pPr>
        <w:pStyle w:val="Heading1"/>
      </w:pPr>
      <w:r>
        <w:t xml:space="preserve">1. Introduction</w:t>
      </w:r>
    </w:p>
    <w:bookmarkStart w:id="20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The purpose of this document is to provide a comprehensive overview of the iFlow named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, detailing its integration architecture, components, scenarios, error handling, and testing validation.</w:t>
      </w:r>
    </w:p>
    <w:bookmarkEnd w:id="20"/>
    <w:bookmarkStart w:id="21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This document covers the integration flow designed for processing emails using IMAP and SMTP protocols, including the associated components and configurations.</w:t>
      </w:r>
    </w:p>
    <w:bookmarkEnd w:id="21"/>
    <w:bookmarkEnd w:id="22"/>
    <w:bookmarkStart w:id="25" w:name="integration-overview"/>
    <w:p>
      <w:pPr>
        <w:pStyle w:val="Heading1"/>
      </w:pPr>
      <w:r>
        <w:t xml:space="preserve">2. Integration Overview</w:t>
      </w:r>
    </w:p>
    <w:bookmarkStart w:id="23" w:name="integration-architecture"/>
    <w:p>
      <w:pPr>
        <w:pStyle w:val="Heading2"/>
      </w:pPr>
      <w:r>
        <w:t xml:space="preserve">2.1 Integration Architecture</w:t>
      </w:r>
    </w:p>
    <w:p>
      <w:pPr>
        <w:pStyle w:val="FirstParagraph"/>
      </w:pPr>
      <w:r>
        <w:t xml:space="preserve">The integration architecture consists of a sender participant that retrieves emails from an IMAP server and a receiver participant that sends emails via an SMTP server. The integration process includes several activities such as content modification and script execution.</w:t>
      </w:r>
    </w:p>
    <w:bookmarkEnd w:id="23"/>
    <w:bookmarkStart w:id="24" w:name="integration-components"/>
    <w:p>
      <w:pPr>
        <w:pStyle w:val="Heading2"/>
      </w:pPr>
      <w:r>
        <w:t xml:space="preserve">2.2 Integration Components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Sender</w:t>
      </w:r>
      <w:r>
        <w:t xml:space="preserve">: IMAP email retrieval component.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Receiver</w:t>
      </w:r>
      <w:r>
        <w:t xml:space="preserve">: SMTP email sending component.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Process</w:t>
      </w:r>
      <w:r>
        <w:t xml:space="preserve">: Orchestrates the flow of data between sender and receiver.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Activities</w:t>
      </w:r>
      <w:r>
        <w:t xml:space="preserve">: Includes Groovy scripts and content modifiers.</w:t>
      </w:r>
    </w:p>
    <w:bookmarkEnd w:id="24"/>
    <w:bookmarkEnd w:id="25"/>
    <w:bookmarkStart w:id="29" w:name="integration-scenarios"/>
    <w:p>
      <w:pPr>
        <w:pStyle w:val="Heading1"/>
      </w:pPr>
      <w:r>
        <w:t xml:space="preserve">3. Integration Scenarios</w:t>
      </w:r>
    </w:p>
    <w:bookmarkStart w:id="26" w:name="scenario-description"/>
    <w:p>
      <w:pPr>
        <w:pStyle w:val="Heading2"/>
      </w:pPr>
      <w:r>
        <w:t xml:space="preserve">3.1 Scenario Description</w:t>
      </w:r>
    </w:p>
    <w:p>
      <w:pPr>
        <w:pStyle w:val="FirstParagraph"/>
      </w:pPr>
      <w:r>
        <w:t xml:space="preserve">The integration flow retrieves unread emails from a Gmail account and processes them before sending the content as an email to a specified recipient.</w:t>
      </w:r>
    </w:p>
    <w:bookmarkEnd w:id="26"/>
    <w:bookmarkStart w:id="27" w:name="data-flows"/>
    <w:p>
      <w:pPr>
        <w:pStyle w:val="Heading2"/>
      </w:pPr>
      <w:r>
        <w:t xml:space="preserve">3.2 Data Flows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 Retrieval</w:t>
      </w:r>
      <w:r>
        <w:t xml:space="preserve">: The sender retrieves unread emails from the Gmail inbox.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Processing</w:t>
      </w:r>
      <w:r>
        <w:t xml:space="preserve">: The retrieved email content is processed using Groovy scripts and content modifiers.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 Sending</w:t>
      </w:r>
      <w:r>
        <w:t xml:space="preserve">: The processed content is sent to the specified recipient via SMTP.</w:t>
      </w:r>
    </w:p>
    <w:bookmarkEnd w:id="27"/>
    <w:bookmarkStart w:id="28" w:name="security-requirements"/>
    <w:p>
      <w:pPr>
        <w:pStyle w:val="Heading2"/>
      </w:pPr>
      <w:r>
        <w:t xml:space="preserve">3.3 Security Requirements</w:t>
      </w:r>
    </w:p>
    <w:p>
      <w:pPr>
        <w:numPr>
          <w:ilvl w:val="0"/>
          <w:numId w:val="1004"/>
        </w:numPr>
        <w:pStyle w:val="Compact"/>
      </w:pPr>
      <w:r>
        <w:t xml:space="preserve">Use of secure protocols (IMAPS and SMTP with STARTTLS).</w:t>
      </w:r>
    </w:p>
    <w:p>
      <w:pPr>
        <w:numPr>
          <w:ilvl w:val="0"/>
          <w:numId w:val="1004"/>
        </w:numPr>
        <w:pStyle w:val="Compact"/>
      </w:pPr>
      <w:r>
        <w:t xml:space="preserve">Authentication via login credentials for both IMAP and SMTP servers.</w:t>
      </w:r>
    </w:p>
    <w:p>
      <w:pPr>
        <w:numPr>
          <w:ilvl w:val="0"/>
          <w:numId w:val="1004"/>
        </w:numPr>
        <w:pStyle w:val="Compact"/>
      </w:pPr>
      <w:r>
        <w:t xml:space="preserve">No exposure of sensitive headers or credentials.</w:t>
      </w:r>
    </w:p>
    <w:bookmarkEnd w:id="28"/>
    <w:bookmarkEnd w:id="29"/>
    <w:bookmarkStart w:id="30" w:name="error-handling-and-logging"/>
    <w:p>
      <w:pPr>
        <w:pStyle w:val="Heading1"/>
      </w:pPr>
      <w:r>
        <w:t xml:space="preserve">4. Error Handling and Logging</w:t>
      </w:r>
    </w:p>
    <w:p>
      <w:pPr>
        <w:pStyle w:val="FirstParagraph"/>
      </w:pPr>
      <w:r>
        <w:t xml:space="preserve">Error handling is implemented to capture and log all events, ensuring that any issues during the email retrieval or sending process are recorded for troubleshooting.</w:t>
      </w:r>
    </w:p>
    <w:bookmarkEnd w:id="30"/>
    <w:bookmarkStart w:id="31" w:name="testing-validation"/>
    <w:p>
      <w:pPr>
        <w:pStyle w:val="Heading1"/>
      </w:pPr>
      <w:r>
        <w:t xml:space="preserve">5. Testing Validation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3201"/>
        <w:gridCol w:w="35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unread 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Unread emails are successfully retrieved.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email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content is processed without errors.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processed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is sent to the specified recipient.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authentication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Appropriate error message is logged.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email sending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is logged, and no email is sent.</w:t>
            </w:r>
          </w:p>
        </w:tc>
      </w:tr>
    </w:tbl>
    <w:bookmarkEnd w:id="31"/>
    <w:bookmarkStart w:id="32" w:name="reference-documents"/>
    <w:p>
      <w:pPr>
        <w:pStyle w:val="Heading1"/>
      </w:pPr>
      <w:r>
        <w:t xml:space="preserve">6. Reference Documents</w:t>
      </w:r>
    </w:p>
    <w:p>
      <w:pPr>
        <w:numPr>
          <w:ilvl w:val="0"/>
          <w:numId w:val="1005"/>
        </w:numPr>
        <w:pStyle w:val="Compact"/>
      </w:pPr>
      <w:r>
        <w:t xml:space="preserve">SAP CPI Documentation</w:t>
      </w:r>
    </w:p>
    <w:p>
      <w:pPr>
        <w:numPr>
          <w:ilvl w:val="0"/>
          <w:numId w:val="1005"/>
        </w:numPr>
        <w:pStyle w:val="Compact"/>
      </w:pPr>
      <w:r>
        <w:t xml:space="preserve">Email Protocol Specifications (IMAP, SMTP)</w:t>
      </w:r>
    </w:p>
    <w:p>
      <w:pPr>
        <w:numPr>
          <w:ilvl w:val="0"/>
          <w:numId w:val="1005"/>
        </w:numPr>
        <w:pStyle w:val="Compact"/>
      </w:pPr>
      <w:r>
        <w:t xml:space="preserve">Groovy Scripting Guide for SAP CPI</w:t>
      </w:r>
    </w:p>
    <w:bookmarkEnd w:id="32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60000" cy="126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126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620000" cy="16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16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2026-01-06T07:32:18Z</dcterms:created>
  <dcterms:modified xsi:type="dcterms:W3CDTF">2026-01-06T07:32:18Z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