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democicd</w:t>
      </w:r>
    </w:p>
    <w:p>
      <w:pPr>
        <w:pStyle w:val="Heading2"/>
      </w:pPr>
      <w:r>
        <w:t>1. Introduction</w:t>
      </w:r>
    </w:p>
    <w:p>
      <w:r>
        <w:t>This document describes the SAP CPI integration flow 'democicd' belonging to the package 'CPIPracticeflows'.</w:t>
      </w:r>
    </w:p>
    <w:p>
      <w:pPr>
        <w:pStyle w:val="Heading3"/>
      </w:pPr>
      <w:r>
        <w:t>1.1 Purpose</w:t>
      </w:r>
    </w:p>
    <w:p>
      <w:r>
        <w:t>To enable structured and automated data exchange between systems.</w:t>
      </w:r>
    </w:p>
    <w:p>
      <w:pPr>
        <w:pStyle w:val="Heading3"/>
      </w:pPr>
      <w:r>
        <w:t>1.2 Scope</w:t>
      </w:r>
    </w:p>
    <w:p>
      <w:r>
        <w:t>Covers inbound, processing, and outbound integration logic.</w:t>
      </w:r>
    </w:p>
    <w:p>
      <w:pPr>
        <w:pStyle w:val="Heading2"/>
      </w:pPr>
      <w:r>
        <w:t>2. Integration Overview</w:t>
      </w:r>
    </w:p>
    <w:p>
      <w:pPr>
        <w:pStyle w:val="Heading3"/>
      </w:pPr>
      <w:r>
        <w:t>2.1 Integration Architecture</w:t>
      </w:r>
    </w:p>
    <w:p>
      <w:r>
        <w:t>No adapters detected.</w:t>
      </w:r>
    </w:p>
    <w:p>
      <w:pPr>
        <w:pStyle w:val="Heading3"/>
      </w:pPr>
      <w:r>
        <w:t>2.2 Integration Components</w:t>
      </w:r>
    </w:p>
    <w:p>
      <w:r>
        <w:t>Groovy Scripts:</w:t>
      </w:r>
    </w:p>
    <w:p>
      <w:r>
        <w:t>- None</w:t>
      </w:r>
    </w:p>
    <w:p>
      <w:r>
        <w:t>Message Mappings:</w:t>
      </w:r>
    </w:p>
    <w:p>
      <w:r>
        <w:t>- None</w:t>
      </w:r>
    </w:p>
    <w:p>
      <w:pPr>
        <w:pStyle w:val="Heading2"/>
      </w:pPr>
      <w:r>
        <w:t>3. Integration Scenarios</w:t>
      </w:r>
    </w:p>
    <w:p>
      <w:pPr>
        <w:pStyle w:val="Heading3"/>
      </w:pPr>
      <w:r>
        <w:t>3.1 Scenario Description</w:t>
      </w:r>
    </w:p>
    <w:p>
      <w:r>
        <w:t>Processes inbound messages and applies transformations as configured.</w:t>
      </w:r>
    </w:p>
    <w:p>
      <w:pPr>
        <w:pStyle w:val="Heading3"/>
      </w:pPr>
      <w:r>
        <w:t>3.2 Data Flow</w:t>
      </w:r>
    </w:p>
    <w:p>
      <w:r>
        <w:t>Sender → CPI → Receiver</w:t>
      </w:r>
    </w:p>
    <w:p>
      <w:pPr>
        <w:pStyle w:val="Heading3"/>
      </w:pPr>
      <w:r>
        <w:t>3.3 Security Requirements</w:t>
      </w:r>
    </w:p>
    <w:p>
      <w:r>
        <w:t>Standard CPI security artifacts are applied where configured.</w:t>
      </w:r>
    </w:p>
    <w:p>
      <w:pPr>
        <w:pStyle w:val="Heading2"/>
      </w:pPr>
      <w:r>
        <w:t>4. Error Handling and Logging</w:t>
      </w:r>
    </w:p>
    <w:p>
      <w:r>
        <w:t>Default CPI error handling is applied.</w:t>
      </w:r>
    </w:p>
    <w:p>
      <w:pPr>
        <w:pStyle w:val="Heading2"/>
      </w:pPr>
      <w:r>
        <w:t>5. Testing and Validation</w:t>
      </w:r>
    </w:p>
    <w:p>
      <w:r>
        <w:t>Integration flow validated using test payloads and monitoring tools.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