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integrationflow</w:t>
      </w:r>
    </w:p>
    <w:p>
      <w:pPr>
        <w:pStyle w:val="BodyText"/>
      </w:pPr>
      <w:r>
        <w:t xml:space="preserve">Technical Specification Document</w:t>
      </w:r>
    </w:p>
    <w:p>
      <w:pPr>
        <w:pStyle w:val="BodyText"/>
      </w:pPr>
    </w:p>
    <w:p>
      <w:pPr>
        <w:pStyle w:val="BodyText"/>
      </w:pPr>
      <w:r>
        <w:t xml:space="preserve">Author</w:t>
      </w:r>
    </w:p>
    <w:p>
      <w:pPr>
        <w:pStyle w:val="BodyText"/>
      </w:pPr>
      <w:r>
        <w:t xml:space="preserve">Sindhu</w:t>
      </w:r>
    </w:p>
    <w:p>
      <w:pPr>
        <w:pStyle w:val="BodyText"/>
      </w:pPr>
      <w:r>
        <w:t xml:space="preserve">Date</w:t>
      </w:r>
    </w:p>
    <w:p>
      <w:pPr>
        <w:pStyle w:val="BodyText"/>
      </w:pPr>
      <w:r>
        <w:t xml:space="preserve">2026-01-05</w:t>
      </w:r>
    </w:p>
    <w:p>
      <w:pPr>
        <w:pStyle w:val="BodyText"/>
      </w:pPr>
      <w:r>
        <w:t xml:space="preserve">Version</w:t>
      </w:r>
    </w:p>
    <w:p>
      <w:pPr>
        <w:pStyle w:val="BodyText"/>
      </w:pPr>
      <w:r>
        <w:t xml:space="preserve">1.0.0</w:t>
      </w:r>
    </w:p>
    <w:p>
      <w:pPr>
        <w:pStyle w:val="BodyText"/>
      </w:pPr>
      <w:r>
        <w:t xml:space="preserve">Table of Contents</w:t>
      </w:r>
    </w:p>
    <w:p>
      <w:pPr>
        <w:numPr>
          <w:ilvl w:val="0"/>
          <w:numId w:val="1001"/>
        </w:numPr>
      </w:pPr>
      <w:r>
        <w:t xml:space="preserve">Introduction</w:t>
      </w:r>
      <w:r>
        <w:t xml:space="preserve"> </w:t>
      </w:r>
      <w:r>
        <w:t xml:space="preserve">1.1 Purpose</w:t>
      </w:r>
      <w:r>
        <w:t xml:space="preserve"> </w:t>
      </w:r>
      <w:r>
        <w:t xml:space="preserve">1.2 Scope</w:t>
      </w:r>
    </w:p>
    <w:p>
      <w:pPr>
        <w:numPr>
          <w:ilvl w:val="0"/>
          <w:numId w:val="1001"/>
        </w:numPr>
      </w:pPr>
      <w:r>
        <w:t xml:space="preserve">Integration Overview</w:t>
      </w:r>
      <w:r>
        <w:t xml:space="preserve"> </w:t>
      </w:r>
      <w:r>
        <w:t xml:space="preserve">2.1 Integration Architecture</w:t>
      </w:r>
      <w:r>
        <w:t xml:space="preserve"> </w:t>
      </w:r>
      <w:r>
        <w:t xml:space="preserve">2.2 Integration Components</w:t>
      </w:r>
    </w:p>
    <w:p>
      <w:pPr>
        <w:numPr>
          <w:ilvl w:val="0"/>
          <w:numId w:val="1001"/>
        </w:numPr>
      </w:pPr>
      <w:r>
        <w:t xml:space="preserve">Integration Scenarios</w:t>
      </w:r>
      <w:r>
        <w:t xml:space="preserve"> </w:t>
      </w:r>
      <w:r>
        <w:t xml:space="preserve">3.1 Scenario Description</w:t>
      </w:r>
      <w:r>
        <w:t xml:space="preserve"> </w:t>
      </w:r>
      <w:r>
        <w:t xml:space="preserve">3.2 Data Flows</w:t>
      </w:r>
      <w:r>
        <w:t xml:space="preserve"> </w:t>
      </w:r>
      <w:r>
        <w:t xml:space="preserve">3.3 Security Requirements</w:t>
      </w:r>
    </w:p>
    <w:p>
      <w:pPr>
        <w:numPr>
          <w:ilvl w:val="0"/>
          <w:numId w:val="1001"/>
        </w:numPr>
      </w:pPr>
      <w:r>
        <w:t xml:space="preserve">Error Handling and Logging</w:t>
      </w:r>
    </w:p>
    <w:p>
      <w:pPr>
        <w:numPr>
          <w:ilvl w:val="0"/>
          <w:numId w:val="1001"/>
        </w:numPr>
      </w:pPr>
      <w:r>
        <w:t xml:space="preserve">Testing Validation</w:t>
      </w:r>
    </w:p>
    <w:p>
      <w:pPr>
        <w:numPr>
          <w:ilvl w:val="0"/>
          <w:numId w:val="1001"/>
        </w:numPr>
      </w:pPr>
      <w:r>
        <w:t xml:space="preserve">Reference Documents</w:t>
      </w:r>
    </w:p>
    <w:p>
      <w:pPr>
        <w:numPr>
          <w:ilvl w:val="0"/>
          <w:numId w:val="1002"/>
        </w:numPr>
        <w:pStyle w:val="Compact"/>
      </w:pPr>
      <w:r>
        <w:t xml:space="preserve">Introduction</w:t>
      </w:r>
    </w:p>
    <w:p>
      <w:pPr>
        <w:pStyle w:val="FirstParagraph"/>
      </w:pPr>
      <w:r>
        <w:t xml:space="preserve">1.1 Purpose</w:t>
      </w:r>
      <w:r>
        <w:t xml:space="preserve"> </w:t>
      </w:r>
      <w:r>
        <w:t xml:space="preserve">- The purpose of this iFlow, named</w:t>
      </w:r>
      <w:r>
        <w:t xml:space="preserve"> </w:t>
      </w:r>
      <w:r>
        <w:t xml:space="preserve">‘</w:t>
      </w:r>
      <w:r>
        <w:t xml:space="preserve">integrationflow</w:t>
      </w:r>
      <w:r>
        <w:t xml:space="preserve">’</w:t>
      </w:r>
      <w:r>
        <w:t xml:space="preserve">, is to facilitate the integration of email communication by retrieving unread emails from a Gmail account and sending the content as an email attachment to a specified recipient. This process automates the handling of email data, ensuring timely and efficient communication.</w:t>
      </w:r>
    </w:p>
    <w:p>
      <w:pPr>
        <w:pStyle w:val="BodyText"/>
      </w:pPr>
      <w:r>
        <w:t xml:space="preserve">1.2 Scope</w:t>
      </w:r>
      <w:r>
        <w:t xml:space="preserve"> </w:t>
      </w:r>
      <w:r>
        <w:t xml:space="preserve">- This iFlow includes the integration of an IMAP email adapter for receiving emails and an SMTP email adapter for sending emails. The integration boundaries are defined between the sender (Gmail) and the receiver (specified email address). The iFlow does not include any external systems beyond the email services.</w:t>
      </w:r>
    </w:p>
    <w:p>
      <w:pPr>
        <w:numPr>
          <w:ilvl w:val="0"/>
          <w:numId w:val="1003"/>
        </w:numPr>
        <w:pStyle w:val="Compact"/>
      </w:pPr>
      <w:r>
        <w:t xml:space="preserve">Integration Overview</w:t>
      </w:r>
    </w:p>
    <w:p>
      <w:pPr>
        <w:pStyle w:val="FirstParagraph"/>
      </w:pPr>
      <w:r>
        <w:t xml:space="preserve">2.1 Integration Architecture</w:t>
      </w:r>
      <w:r>
        <w:t xml:space="preserve"> </w:t>
      </w:r>
      <w:r>
        <w:t xml:space="preserve">- The integration architecture consists of a sender participant that connects to the Gmail IMAP server to fetch unread emails, processes the email content through a series of activities (including Groovy scripts and content modifiers), and finally sends the processed content as an email attachment to a designated recipient via the SMTP server.</w:t>
      </w:r>
    </w:p>
    <w:p>
      <w:pPr>
        <w:pStyle w:val="BodyText"/>
      </w:pPr>
      <w:r>
        <w:t xml:space="preserve">2.2 Integration Components</w:t>
      </w:r>
      <w:r>
        <w:t xml:space="preserve"> </w:t>
      </w:r>
      <w:r>
        <w:t xml:space="preserve">- Adapters:</w:t>
      </w:r>
      <w:r>
        <w:t xml:space="preserve"> </w:t>
      </w:r>
      <w:r>
        <w:t xml:space="preserve">- IMAP Adapter: Used to retrieve unread emails from the Gmail account.</w:t>
      </w:r>
      <w:r>
        <w:t xml:space="preserve"> </w:t>
      </w:r>
      <w:r>
        <w:t xml:space="preserve">- SMTP Adapter: Used to send emails with the processed content as an attachment.</w:t>
      </w:r>
      <w:r>
        <w:t xml:space="preserve"> </w:t>
      </w:r>
      <w:r>
        <w:t xml:space="preserve">- Scripts:</w:t>
      </w:r>
      <w:r>
        <w:t xml:space="preserve"> </w:t>
      </w:r>
      <w:r>
        <w:t xml:space="preserve">- Groovy Script: A script activity that processes the email content.</w:t>
      </w:r>
      <w:r>
        <w:t xml:space="preserve"> </w:t>
      </w:r>
      <w:r>
        <w:t xml:space="preserve">- Content Modifiers:</w:t>
      </w:r>
      <w:r>
        <w:t xml:space="preserve"> </w:t>
      </w:r>
      <w:r>
        <w:t xml:space="preserve">- Content Modifier 1 and Content Modifier 2: Activities that enrich the message content before sending.</w:t>
      </w:r>
    </w:p>
    <w:p>
      <w:pPr>
        <w:numPr>
          <w:ilvl w:val="0"/>
          <w:numId w:val="1004"/>
        </w:numPr>
        <w:pStyle w:val="Compact"/>
      </w:pPr>
      <w:r>
        <w:t xml:space="preserve">Integration Scenarios</w:t>
      </w:r>
    </w:p>
    <w:p>
      <w:pPr>
        <w:pStyle w:val="FirstParagraph"/>
      </w:pPr>
      <w:r>
        <w:t xml:space="preserve">3.1 Scenario Description</w:t>
      </w:r>
      <w:r>
        <w:t xml:space="preserve"> </w:t>
      </w:r>
      <w:r>
        <w:t xml:space="preserve">- The integration flow begins with the Start Event, which triggers the retrieval of unread emails from the Gmail account using the IMAP adapter. The emails are processed through a Groovy script to extract relevant information. The processed data is then modified using two content modifiers to prepare it for sending. Finally, the End Event signifies the completion of the process after the email is sent to the specified recipient.</w:t>
      </w:r>
    </w:p>
    <w:p>
      <w:pPr>
        <w:pStyle w:val="BodyText"/>
      </w:pPr>
      <w:r>
        <w:t xml:space="preserve">3.2 Data Flows</w:t>
      </w:r>
      <w:r>
        <w:t xml:space="preserve"> </w:t>
      </w:r>
      <w:r>
        <w:t xml:space="preserve">- The message flow starts with the IMAP adapter fetching unread emails from the Gmail inbox. The email content is transformed and enriched using the Groovy script and content modifiers. The final output is routed to the SMTP adapter, which sends the email to the designated recipient.</w:t>
      </w:r>
    </w:p>
    <w:p>
      <w:pPr>
        <w:pStyle w:val="BodyText"/>
      </w:pPr>
      <w:r>
        <w:t xml:space="preserve">3.3 Security Requirements</w:t>
      </w:r>
      <w:r>
        <w:t xml:space="preserve"> </w:t>
      </w:r>
      <w:r>
        <w:t xml:space="preserve">- The integration requires basic authentication for both the IMAP and SMTP adapters. Credentials for accessing the Gmail account are specified within the iFlow. No additional authorization mechanisms are implemented.</w:t>
      </w:r>
    </w:p>
    <w:p>
      <w:pPr>
        <w:numPr>
          <w:ilvl w:val="0"/>
          <w:numId w:val="1005"/>
        </w:numPr>
        <w:pStyle w:val="Compact"/>
      </w:pPr>
      <w:r>
        <w:t xml:space="preserve">Error Handling and Logging</w:t>
      </w:r>
    </w:p>
    <w:p>
      <w:pPr>
        <w:numPr>
          <w:ilvl w:val="0"/>
          <w:numId w:val="1006"/>
        </w:numPr>
        <w:pStyle w:val="Compact"/>
      </w:pPr>
      <w:r>
        <w:t xml:space="preserve">The iFlow implements a logging strategy that captures all events, allowing for comprehensive monitoring of the integration process. Error handling is managed by returning exceptions to the sender, ensuring that any issues encountered during processing are logged for further analysis.</w:t>
      </w:r>
    </w:p>
    <w:p>
      <w:pPr>
        <w:numPr>
          <w:ilvl w:val="0"/>
          <w:numId w:val="1007"/>
        </w:numPr>
      </w:pPr>
      <w:r>
        <w:t xml:space="preserve">Testing Validation</w:t>
      </w:r>
      <w:r>
        <w:t xml:space="preserve"> </w:t>
      </w:r>
      <w:r>
        <w:t xml:space="preserve">| Test Case ID | Scenario | Expected Outcome |</w:t>
      </w:r>
      <w:r>
        <w:t xml:space="preserve"> </w:t>
      </w:r>
      <w:r>
        <w:t xml:space="preserve">|—————|———————————–|—————————————————|</w:t>
      </w:r>
      <w:r>
        <w:t xml:space="preserve"> </w:t>
      </w:r>
      <w:r>
        <w:t xml:space="preserve">| TC_01 | Fetch unread emails | Unread emails are successfully retrieved from Gmail. |</w:t>
      </w:r>
      <w:r>
        <w:t xml:space="preserve"> </w:t>
      </w:r>
      <w:r>
        <w:t xml:space="preserve">| TC_02 | Process email content | Email content is processed and transformed correctly. |</w:t>
      </w:r>
      <w:r>
        <w:t xml:space="preserve"> </w:t>
      </w:r>
      <w:r>
        <w:t xml:space="preserve">| TC_03 | Send email with attachment | Email is sent successfully to the specified recipient with the correct attachment. |</w:t>
      </w:r>
    </w:p>
    <w:p>
      <w:pPr>
        <w:numPr>
          <w:ilvl w:val="0"/>
          <w:numId w:val="1007"/>
        </w:numPr>
      </w:pPr>
      <w:r>
        <w:t xml:space="preserve">Reference Documents</w:t>
      </w:r>
    </w:p>
    <w:p>
      <w:pPr>
        <w:numPr>
          <w:ilvl w:val="0"/>
          <w:numId w:val="1008"/>
        </w:numPr>
        <w:pStyle w:val="Compact"/>
      </w:pPr>
      <w:r>
        <w:t xml:space="preserve">CPI Package: integrationflow</w:t>
      </w:r>
    </w:p>
    <w:p>
      <w:pPr>
        <w:numPr>
          <w:ilvl w:val="0"/>
          <w:numId w:val="1008"/>
        </w:numPr>
        <w:pStyle w:val="Compact"/>
      </w:pPr>
      <w:r>
        <w:t xml:space="preserve">iFlow Name: integrationflow</w:t>
      </w:r>
    </w:p>
    <w:p>
      <w:pPr>
        <w:numPr>
          <w:ilvl w:val="0"/>
          <w:numId w:val="1008"/>
        </w:numPr>
        <w:pStyle w:val="Compact"/>
      </w:pPr>
      <w:r>
        <w:t xml:space="preserve">Related References: IMAP and SMTP adapter documentation, Groovy script documentation.</w:t>
      </w:r>
    </w:p>
    <w:sectPr w:rsidR="00FC693F" w:rsidRPr="0006063C" w:rsidSect="00034616">
      <w:headerReference r:id="rId9" w:type="defaul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4535"/>
      <w:gridCol w:w="4535"/>
    </w:tblGrid>
    <w:tr>
      <w:tc>
        <w:tcPr>
          <w:tcW w:type="dxa" w:w="4535"/>
        </w:tcPr>
        <w:p>
          <w:pPr>
            <w:jc w:val="left"/>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sap.png"/>
                        <pic:cNvPicPr/>
                      </pic:nvPicPr>
                      <pic:blipFill>
                        <a:blip r:embed="rId1"/>
                        <a:stretch>
                          <a:fillRect/>
                        </a:stretch>
                      </pic:blipFill>
                      <pic:spPr>
                        <a:xfrm>
                          <a:off x="0" y="0"/>
                          <a:ext cx="1260000" cy="1260000"/>
                        </a:xfrm>
                        <a:prstGeom prst="rect"/>
                      </pic:spPr>
                    </pic:pic>
                  </a:graphicData>
                </a:graphic>
              </wp:inline>
            </w:drawing>
          </w:r>
        </w:p>
      </w:tc>
      <w:tc>
        <w:tcPr>
          <w:tcW w:type="dxa" w:w="4535"/>
        </w:tcPr>
        <w:p>
          <w:pPr>
            <w:jc w:val="right"/>
          </w:pPr>
          <w:r>
            <w:drawing>
              <wp:inline xmlns:a="http://schemas.openxmlformats.org/drawingml/2006/main" xmlns:pic="http://schemas.openxmlformats.org/drawingml/2006/picture">
                <wp:extent cx="1620000" cy="1620000"/>
                <wp:docPr id="2" name="Picture 2"/>
                <wp:cNvGraphicFramePr>
                  <a:graphicFrameLocks noChangeAspect="1"/>
                </wp:cNvGraphicFramePr>
                <a:graphic>
                  <a:graphicData uri="http://schemas.openxmlformats.org/drawingml/2006/picture">
                    <pic:pic>
                      <pic:nvPicPr>
                        <pic:cNvPr id="0" name="motiveminds.png"/>
                        <pic:cNvPicPr/>
                      </pic:nvPicPr>
                      <pic:blipFill>
                        <a:blip r:embed="rId2"/>
                        <a:stretch>
                          <a:fillRect/>
                        </a:stretch>
                      </pic:blipFill>
                      <pic:spPr>
                        <a:xfrm>
                          <a:off x="0" y="0"/>
                          <a:ext cx="1620000" cy="1620000"/>
                        </a:xfrm>
                        <a:prstGeom prst="rect"/>
                      </pic:spPr>
                    </pic:pic>
                  </a:graphicData>
                </a:graphic>
              </wp:inline>
            </w:drawing>
          </w:r>
        </w:p>
      </w:tc>
    </w:tr>
  </w:tbl>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2026-01-05T11:44:02Z</dcterms:created>
  <dcterms:modified xsi:type="dcterms:W3CDTF">2026-01-05T11:44:02Z</dcterms:modified>
</cp:coreProperties>
</file>

<file path=docProps/custom.xml><?xml version="1.0" encoding="utf-8"?>
<Properties xmlns="http://schemas.openxmlformats.org/officeDocument/2006/custom-properties" xmlns:vt="http://schemas.openxmlformats.org/officeDocument/2006/docPropsVTypes"/>
</file>