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e9fdb32f322e1304c2f4f57c215f195acbe2a7c"/>
    <w:p>
      <w:pPr>
        <w:pStyle w:val="Heading1"/>
      </w:pPr>
      <w:r>
        <w:t xml:space="preserve">iFlow Documentation for Currency Converter Main Flow</w:t>
      </w:r>
    </w:p>
    <w:bookmarkStart w:id="20" w:name="flow-name"/>
    <w:p>
      <w:pPr>
        <w:pStyle w:val="Heading2"/>
      </w:pPr>
      <w:r>
        <w:t xml:space="preserve">1. Flow Name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Currency Converter Main Flow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Facilitates cross-border currency exchanges to manage financial transactions smoothly.</w:t>
      </w:r>
    </w:p>
    <w:bookmarkEnd w:id="20"/>
    <w:bookmarkStart w:id="21" w:name="business-purpose-short-but-meaningful"/>
    <w:p>
      <w:pPr>
        <w:pStyle w:val="Heading2"/>
      </w:pPr>
      <w:r>
        <w:t xml:space="preserve">2. Business Purpose (short but meaningful)</w:t>
      </w:r>
    </w:p>
    <w:p>
      <w:pPr>
        <w:numPr>
          <w:ilvl w:val="0"/>
          <w:numId w:val="1002"/>
        </w:numPr>
        <w:pStyle w:val="Compact"/>
      </w:pPr>
      <w:r>
        <w:t xml:space="preserve">The flow handles currency conversions between different currencies using Integration Framework Language (IFL) endpoints to facilitate seamless financial transactions across borders.</w:t>
      </w:r>
    </w:p>
    <w:bookmarkEnd w:id="21"/>
    <w:bookmarkStart w:id="22" w:name="high-level-technical-flow"/>
    <w:p>
      <w:pPr>
        <w:pStyle w:val="Heading2"/>
      </w:pPr>
      <w:r>
        <w:t xml:space="preserve">3. High-Level Technical Flow</w:t>
      </w:r>
    </w:p>
    <w:p>
      <w:pPr>
        <w:numPr>
          <w:ilvl w:val="0"/>
          <w:numId w:val="1003"/>
        </w:numPr>
        <w:pStyle w:val="Compact"/>
      </w:pPr>
      <w:r>
        <w:t xml:space="preserve">An endpoint sender participant processes transactions, converting source currency into target currency.</w:t>
      </w:r>
    </w:p>
    <w:p>
      <w:pPr>
        <w:numPr>
          <w:ilvl w:val="0"/>
          <w:numId w:val="1003"/>
        </w:numPr>
        <w:pStyle w:val="Compact"/>
      </w:pPr>
      <w:r>
        <w:t xml:space="preserve">Errors are handled by setting exceptions for immediate access or sending them back.</w:t>
      </w:r>
    </w:p>
    <w:p>
      <w:pPr>
        <w:numPr>
          <w:ilvl w:val="0"/>
          <w:numId w:val="1003"/>
        </w:numPr>
        <w:pStyle w:val="Compact"/>
      </w:pPr>
      <w:r>
        <w:t xml:space="preserve">Targets receive converted amounts and notify the endpoint.</w:t>
      </w:r>
    </w:p>
    <w:bookmarkEnd w:id="22"/>
    <w:bookmarkStart w:id="23" w:name="mermaid-diagram"/>
    <w:p>
      <w:pPr>
        <w:pStyle w:val="Heading2"/>
      </w:pPr>
      <w:r>
        <w:t xml:space="preserve">4. Mermaid Diagram</w:t>
      </w:r>
    </w:p>
    <w:p>
      <w:pPr>
        <w:pStyle w:val="SourceCode"/>
      </w:pPr>
      <w:r>
        <w:rPr>
          <w:rStyle w:val="VerbatimChar"/>
        </w:rPr>
        <w:t xml:space="preserve">bpmn2:flowName="Currency Converter Main Flow"</w:t>
      </w:r>
      <w:r>
        <w:br/>
      </w:r>
      <w:r>
        <w:rPr>
          <w:rStyle w:val="VerbatimChar"/>
        </w:rPr>
        <w:t xml:space="preserve">&lt;ifl:participant&gt;</w:t>
      </w:r>
      <w:r>
        <w:br/>
      </w:r>
      <w:r>
        <w:rPr>
          <w:rStyle w:val="VerbatimChar"/>
        </w:rPr>
        <w:t xml:space="preserve">    &lt;bpmn2:Participant id="Participant_1" ifl:type="EndpointSender"&gt;</w:t>
      </w:r>
      <w:r>
        <w:br/>
      </w:r>
      <w:r>
        <w:rPr>
          <w:rStyle w:val="VerbatimChar"/>
        </w:rPr>
        <w:t xml:space="preserve">        &lt;ifl:extensionElements&gt;</w:t>
      </w:r>
      <w:r>
        <w:br/>
      </w:r>
      <w:r>
        <w:rPr>
          <w:rStyle w:val="VerbatimChar"/>
        </w:rPr>
        <w:t xml:space="preserve">            &lt;ifl:property key="enableBasicAuthentication" value="true"&gt;</w:t>
      </w:r>
      <w:r>
        <w:br/>
      </w:r>
      <w:r>
        <w:rPr>
          <w:rStyle w:val="VerbatimChar"/>
        </w:rPr>
        <w:t xml:space="preserve">                sendTransaction</w:t>
      </w:r>
      <w:r>
        <w:br/>
      </w:r>
      <w:r>
        <w:rPr>
          <w:rStyle w:val="VerbatimChar"/>
        </w:rPr>
        <w:t xml:space="preserve">            &lt;/ifl:property&gt;</w:t>
      </w:r>
      <w:r>
        <w:br/>
      </w:r>
      <w:r>
        <w:rPr>
          <w:rStyle w:val="VerbatimChar"/>
        </w:rPr>
        <w:t xml:space="preserve">            &lt;ifl:property key="ifl:type" value="EndpointSender"&gt;</w:t>
      </w:r>
      <w:r>
        <w:br/>
      </w:r>
      <w:r>
        <w:rPr>
          <w:rStyle w:val="VerbatimChar"/>
        </w:rPr>
        <w:t xml:space="preserve">                enableBasicAuthentication</w:t>
      </w:r>
      <w:r>
        <w:br/>
      </w:r>
      <w:r>
        <w:rPr>
          <w:rStyle w:val="VerbatimChar"/>
        </w:rPr>
        <w:t xml:space="preserve">            &lt;/ifl:property&gt;</w:t>
      </w:r>
      <w:r>
        <w:br/>
      </w:r>
      <w:r>
        <w:rPr>
          <w:rStyle w:val="VerbatimChar"/>
        </w:rPr>
        <w:t xml:space="preserve">        &lt;/ifl:extensionElements&gt;</w:t>
      </w:r>
      <w:r>
        <w:br/>
      </w:r>
      <w:r>
        <w:rPr>
          <w:rStyle w:val="VerbatimChar"/>
        </w:rPr>
        <w:t xml:space="preserve">    &lt;/bpmn2:participant&gt;</w:t>
      </w:r>
      <w:r>
        <w:br/>
      </w:r>
      <w:r>
        <w:rPr>
          <w:rStyle w:val="VerbatimChar"/>
        </w:rPr>
        <w:t xml:space="preserve">&lt;ifl:participant&gt;</w:t>
      </w:r>
      <w:r>
        <w:br/>
      </w:r>
      <w:r>
        <w:rPr>
          <w:rStyle w:val="VerbatimChar"/>
        </w:rPr>
        <w:t xml:space="preserve">    &lt;bpmn2:Participant id="Part_2" ifl:type="Receiver"&gt;</w:t>
      </w:r>
      <w:r>
        <w:br/>
      </w:r>
      <w:r>
        <w:rPr>
          <w:rStyle w:val="VerbatimChar"/>
        </w:rPr>
        <w:t xml:space="preserve">        &lt;ifl:extensionElements&gt;</w:t>
      </w:r>
      <w:r>
        <w:br/>
      </w:r>
      <w:r>
        <w:rPr>
          <w:rStyle w:val="VerbatimChar"/>
        </w:rPr>
        <w:t xml:space="preserve">            &lt;ifl:property key="returnExceptionToSender" value="true"&gt;</w:t>
      </w:r>
      <w:r>
        <w:br/>
      </w:r>
      <w:r>
        <w:rPr>
          <w:rStyle w:val="VerbatimChar"/>
        </w:rPr>
        <w:t xml:space="preserve">                returnExceptions</w:t>
      </w:r>
      <w:r>
        <w:br/>
      </w:r>
      <w:r>
        <w:rPr>
          <w:rStyle w:val="VerbatimChar"/>
        </w:rPr>
        <w:t xml:space="preserve">            &lt;/ifl:property&gt;</w:t>
      </w:r>
      <w:r>
        <w:br/>
      </w:r>
      <w:r>
        <w:rPr>
          <w:rStyle w:val="VerbatimChar"/>
        </w:rPr>
        <w:t xml:space="preserve">            &lt;ifl:property key="handleError" value="None"&gt;</w:t>
      </w:r>
      <w:r>
        <w:br/>
      </w:r>
      <w:r>
        <w:rPr>
          <w:rStyle w:val="VerbatimChar"/>
        </w:rPr>
        <w:t xml:space="preserve">                handleError</w:t>
      </w:r>
      <w:r>
        <w:br/>
      </w:r>
      <w:r>
        <w:rPr>
          <w:rStyle w:val="VerbatimChar"/>
        </w:rPr>
        <w:t xml:space="preserve">            &lt;/ifl:property&gt;</w:t>
      </w:r>
      <w:r>
        <w:br/>
      </w:r>
      <w:r>
        <w:rPr>
          <w:rStyle w:val="VerbatimChar"/>
        </w:rPr>
        <w:t xml:space="preserve">        &lt;/ifl:extensionElements&gt;</w:t>
      </w:r>
      <w:r>
        <w:br/>
      </w:r>
      <w:r>
        <w:rPr>
          <w:rStyle w:val="VerbatimChar"/>
        </w:rPr>
        <w:t xml:space="preserve">    &lt;/bpmn2:participant&gt;</w:t>
      </w:r>
      <w:r>
        <w:br/>
      </w:r>
      <w:r>
        <w:rPr>
          <w:rStyle w:val="VerbatimChar"/>
        </w:rPr>
        <w:t xml:space="preserve">&lt;/ifl:participant&gt;</w:t>
      </w:r>
      <w:r>
        <w:br/>
      </w:r>
      <w:r>
        <w:br/>
      </w:r>
      <w:r>
        <w:rPr>
          <w:rStyle w:val="VerbatimChar"/>
        </w:rPr>
        <w:t xml:space="preserve">&lt;ifl:graph&gt;mermaid</w:t>
      </w:r>
      <w:r>
        <w:br/>
      </w:r>
      <w:r>
        <w:rPr>
          <w:rStyle w:val="VerbatimChar"/>
        </w:rPr>
        <w:t xml:space="preserve">A to B</w:t>
      </w:r>
      <w:r>
        <w:br/>
      </w:r>
      <w:r>
        <w:rPr>
          <w:rStyle w:val="VerbatimChar"/>
        </w:rPr>
        <w:t xml:space="preserve">A -&gt; C</w:t>
      </w:r>
      <w:r>
        <w:br/>
      </w:r>
      <w:r>
        <w:rPr>
          <w:rStyle w:val="VerbatimChar"/>
        </w:rPr>
        <w:t xml:space="preserve">C -&gt; D</w:t>
      </w:r>
      <w:r>
        <w:br/>
      </w:r>
      <w:r>
        <w:rPr>
          <w:rStyle w:val="VerbatimChar"/>
        </w:rPr>
        <w:t xml:space="preserve">D</w:t>
      </w:r>
      <w:r>
        <w:br/>
      </w:r>
      <w:r>
        <w:rPr>
          <w:rStyle w:val="VerbatimChar"/>
        </w:rPr>
        <w:t xml:space="preserve">&lt;/ifl:graph&gt;</w:t>
      </w:r>
    </w:p>
    <w:bookmarkEnd w:id="23"/>
    <w:bookmarkStart w:id="24" w:name="steps-explanation"/>
    <w:p>
      <w:pPr>
        <w:pStyle w:val="Heading2"/>
      </w:pPr>
      <w:r>
        <w:t xml:space="preserve">5. Steps Explanation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Define Source Currency</w:t>
      </w:r>
      <w:r>
        <w:t xml:space="preserve">: The flow starts by defining the source currency using</w:t>
      </w:r>
      <w:r>
        <w:t xml:space="preserve"> </w:t>
      </w:r>
      <w:r>
        <w:rPr>
          <w:rStyle w:val="VerbatimChar"/>
        </w:rPr>
        <w:t xml:space="preserve">sendTransaction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Send Transaction</w:t>
      </w:r>
      <w:r>
        <w:t xml:space="preserve">: A transaction is sent from the participant (Sender) to the target endpoint.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Handle Errors</w:t>
      </w:r>
      <w:r>
        <w:t xml:space="preserve">: If an error occurs during processing, it is set back for immediate access or sent via a</w:t>
      </w:r>
      <w:r>
        <w:t xml:space="preserve"> </w:t>
      </w:r>
      <w:r>
        <w:t xml:space="preserve">‘</w:t>
      </w:r>
      <w:r>
        <w:t xml:space="preserve">returnExceptions</w:t>
      </w:r>
      <w:r>
        <w:t xml:space="preserve">’</w:t>
      </w:r>
      <w:r>
        <w:t xml:space="preserve"> </w:t>
      </w:r>
      <w:r>
        <w:t xml:space="preserve">variable.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Convert to Target Currency</w:t>
      </w:r>
      <w:r>
        <w:t xml:space="preserve">: The transaction is converted into euros and notified to the receiver.</w:t>
      </w:r>
    </w:p>
    <w:bookmarkEnd w:id="24"/>
    <w:bookmarkStart w:id="25" w:name="scripts-mappings-summary"/>
    <w:p>
      <w:pPr>
        <w:pStyle w:val="Heading2"/>
      </w:pPr>
      <w:r>
        <w:t xml:space="preserve">6. Scripts &amp; Mappings Summary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ifl:transferTransaction</w:t>
      </w:r>
      <w:r>
        <w:t xml:space="preserve">: Processes currency exchange between source and target currencies.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ifl:handleError</w:t>
      </w:r>
      <w:r>
        <w:t xml:space="preserve">: Handles any exceptions during processing by setting them back for immediate access or sending them directly.</w:t>
      </w:r>
    </w:p>
    <w:bookmarkEnd w:id="25"/>
    <w:bookmarkStart w:id="26" w:name="exception-handling"/>
    <w:p>
      <w:pPr>
        <w:pStyle w:val="Heading2"/>
      </w:pPr>
      <w:r>
        <w:t xml:space="preserve">7. Exception Handling</w:t>
      </w:r>
    </w:p>
    <w:p>
      <w:pPr>
        <w:numPr>
          <w:ilvl w:val="0"/>
          <w:numId w:val="1006"/>
        </w:numPr>
        <w:pStyle w:val="Compact"/>
      </w:pPr>
      <w:r>
        <w:t xml:space="preserve">All errors are handled by setting exceptions to</w:t>
      </w:r>
      <w:r>
        <w:t xml:space="preserve"> </w:t>
      </w:r>
      <w:r>
        <w:t xml:space="preserve">‘</w:t>
      </w:r>
      <w:r>
        <w:t xml:space="preserve">true</w:t>
      </w:r>
      <w:r>
        <w:t xml:space="preserve">’</w:t>
      </w:r>
      <w:r>
        <w:t xml:space="preserve">, ensuring they can be accessed from another endpoint or sent after conversion.</w:t>
      </w:r>
    </w:p>
    <w:bookmarkEnd w:id="26"/>
    <w:bookmarkStart w:id="27" w:name="properties-used"/>
    <w:p>
      <w:pPr>
        <w:pStyle w:val="Heading2"/>
      </w:pPr>
      <w:r>
        <w:t xml:space="preserve">8. Properties Used</w:t>
      </w:r>
    </w:p>
    <w:p>
      <w:pPr>
        <w:numPr>
          <w:ilvl w:val="0"/>
          <w:numId w:val="1007"/>
        </w:numPr>
        <w:pStyle w:val="Compact"/>
      </w:pPr>
      <w:r>
        <w:t xml:space="preserve">httpSessionHandling</w:t>
      </w:r>
    </w:p>
    <w:p>
      <w:pPr>
        <w:numPr>
          <w:ilvl w:val="0"/>
          <w:numId w:val="1007"/>
        </w:numPr>
        <w:pStyle w:val="Compact"/>
      </w:pPr>
      <w:r>
        <w:t xml:space="preserve">accessControlMaxAge</w:t>
      </w:r>
    </w:p>
    <w:p>
      <w:pPr>
        <w:numPr>
          <w:ilvl w:val="0"/>
          <w:numId w:val="1007"/>
        </w:numPr>
        <w:pStyle w:val="Compact"/>
      </w:pPr>
      <w:r>
        <w:t xml:space="preserve">returnExceptionToSender</w:t>
      </w:r>
    </w:p>
    <w:p>
      <w:pPr>
        <w:numPr>
          <w:ilvl w:val="0"/>
          <w:numId w:val="1007"/>
        </w:numPr>
        <w:pStyle w:val="Compact"/>
      </w:pPr>
      <w:r>
        <w:t xml:space="preserve">transportEndpoint</w:t>
      </w:r>
    </w:p>
    <w:bookmarkEnd w:id="27"/>
    <w:bookmarkStart w:id="28" w:name="test-cases"/>
    <w:p>
      <w:pPr>
        <w:pStyle w:val="Heading2"/>
      </w:pPr>
      <w:r>
        <w:t xml:space="preserve">9. Test Cases</w:t>
      </w:r>
    </w:p>
    <w:p>
      <w:pPr>
        <w:numPr>
          <w:ilvl w:val="0"/>
          <w:numId w:val="1008"/>
        </w:numPr>
        <w:pStyle w:val="Compact"/>
      </w:pPr>
      <w:r>
        <w:t xml:space="preserve">Convert EUR to USD without errors.</w:t>
      </w:r>
    </w:p>
    <w:p>
      <w:pPr>
        <w:numPr>
          <w:ilvl w:val="0"/>
          <w:numId w:val="1008"/>
        </w:numPr>
        <w:pStyle w:val="Compact"/>
      </w:pPr>
      <w:r>
        <w:t xml:space="preserve">Transaction fails due to network issues, exception set back.</w:t>
      </w:r>
    </w:p>
    <w:p>
      <w:pPr>
        <w:numPr>
          <w:ilvl w:val="0"/>
          <w:numId w:val="1008"/>
        </w:numPr>
        <w:pStyle w:val="Compact"/>
      </w:pPr>
      <w:r>
        <w:t xml:space="preserve">Multiple currencies convert into euros.</w:t>
      </w:r>
    </w:p>
    <w:p>
      <w:pPr>
        <w:numPr>
          <w:ilvl w:val="0"/>
          <w:numId w:val="1008"/>
        </w:numPr>
        <w:pStyle w:val="Compact"/>
      </w:pPr>
      <w:r>
        <w:t xml:space="preserve">Error occurs after conversion.</w:t>
      </w:r>
    </w:p>
    <w:bookmarkEnd w:id="28"/>
    <w:bookmarkStart w:id="29" w:name="deployment-notes"/>
    <w:p>
      <w:pPr>
        <w:pStyle w:val="Heading2"/>
      </w:pPr>
      <w:r>
        <w:t xml:space="preserve">10. Deployment Notes</w:t>
      </w:r>
    </w:p>
    <w:p>
      <w:pPr>
        <w:numPr>
          <w:ilvl w:val="0"/>
          <w:numId w:val="1009"/>
        </w:numPr>
        <w:pStyle w:val="Compact"/>
      </w:pPr>
      <w:r>
        <w:t xml:space="preserve">Configure IFL extensions for the target endpoint.</w:t>
      </w:r>
    </w:p>
    <w:p>
      <w:pPr>
        <w:numPr>
          <w:ilvl w:val="0"/>
          <w:numId w:val="1009"/>
        </w:numPr>
        <w:pStyle w:val="Compact"/>
      </w:pPr>
      <w:r>
        <w:t xml:space="preserve">Use appropriate network interfaces and port numbers.</w:t>
      </w:r>
    </w:p>
    <w:p>
      <w:pPr>
        <w:numPr>
          <w:ilvl w:val="0"/>
          <w:numId w:val="1009"/>
        </w:numPr>
        <w:pStyle w:val="Compact"/>
      </w:pPr>
      <w:r>
        <w:t xml:space="preserve">Ensure the flow is properly integrated with IFL components.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2025-12-08T11:15:03Z</dcterms:created>
  <dcterms:modified xsi:type="dcterms:W3CDTF">2025-12-08T11:15:03Z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